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ED" w:rsidRPr="007C464D" w:rsidRDefault="00F908ED" w:rsidP="00E75975">
      <w:pPr>
        <w:spacing w:after="0" w:line="360" w:lineRule="auto"/>
        <w:ind w:firstLine="524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ЗАТВЕРДЖЕНО</w:t>
      </w:r>
    </w:p>
    <w:p w:rsidR="00F908ED" w:rsidRPr="007C464D" w:rsidRDefault="00F908ED" w:rsidP="00E75975">
      <w:pPr>
        <w:spacing w:after="0" w:line="360" w:lineRule="auto"/>
        <w:ind w:firstLine="524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Розпорядження голови </w:t>
      </w:r>
      <w:r w:rsidR="009D7E9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Львівської</w:t>
      </w:r>
    </w:p>
    <w:p w:rsidR="00F908ED" w:rsidRPr="007C464D" w:rsidRDefault="00582DD7" w:rsidP="00E75975">
      <w:pPr>
        <w:spacing w:after="0" w:line="360" w:lineRule="auto"/>
        <w:ind w:firstLine="524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обласної державної адміністрації</w:t>
      </w:r>
    </w:p>
    <w:p w:rsidR="00F908ED" w:rsidRPr="007C464D" w:rsidRDefault="00C77CD9" w:rsidP="00E75975">
      <w:pPr>
        <w:tabs>
          <w:tab w:val="left" w:pos="5760"/>
          <w:tab w:val="left" w:pos="7260"/>
          <w:tab w:val="left" w:pos="10995"/>
        </w:tabs>
        <w:spacing w:after="0" w:line="360" w:lineRule="auto"/>
        <w:ind w:firstLine="524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_______№ _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</w:t>
      </w:r>
    </w:p>
    <w:p w:rsidR="002432ED" w:rsidRPr="007C464D" w:rsidRDefault="002432ED" w:rsidP="002432E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ПОЛОЖЕННЯ</w:t>
      </w:r>
    </w:p>
    <w:p w:rsidR="003B273C" w:rsidRPr="007C464D" w:rsidRDefault="00F908ED" w:rsidP="002432E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bookmarkStart w:id="0" w:name="_heading=h.4d34og8"/>
      <w:bookmarkEnd w:id="0"/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про умови проведення конкурсу з відбору інвестора</w:t>
      </w:r>
      <w:r w:rsidR="00F33A6E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F01262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(</w:t>
      </w:r>
      <w:r w:rsidR="00D37A23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оператор</w:t>
      </w:r>
      <w:r w:rsidR="00BB494C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а)</w:t>
      </w:r>
    </w:p>
    <w:p w:rsidR="003B273C" w:rsidRPr="007C464D" w:rsidRDefault="00F908ED" w:rsidP="002432E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для впровадження автоматизовано</w:t>
      </w:r>
      <w:r w:rsidR="003B273C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ї системи обліку оплати проїзду</w:t>
      </w:r>
    </w:p>
    <w:p w:rsidR="003B273C" w:rsidRPr="007C464D" w:rsidRDefault="000122BF" w:rsidP="002432E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у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приміських та міжміських </w:t>
      </w:r>
      <w:r w:rsidR="003B273C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автобусних маршрутах загального</w:t>
      </w:r>
    </w:p>
    <w:p w:rsidR="00F908ED" w:rsidRPr="007C464D" w:rsidRDefault="00F908ED" w:rsidP="003B27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користування Львівської області незалежно від форм</w:t>
      </w:r>
      <w:r w:rsidR="00C23B8C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и</w:t>
      </w: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власності</w:t>
      </w:r>
    </w:p>
    <w:p w:rsidR="003B273C" w:rsidRPr="007C464D" w:rsidRDefault="003B273C" w:rsidP="003B273C">
      <w:pPr>
        <w:pStyle w:val="a9"/>
        <w:spacing w:after="0" w:line="240" w:lineRule="auto"/>
        <w:ind w:left="0" w:right="-58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3B273C">
      <w:pPr>
        <w:pStyle w:val="a9"/>
        <w:spacing w:after="0" w:line="240" w:lineRule="auto"/>
        <w:ind w:left="0"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</w:t>
      </w:r>
      <w:r w:rsidR="003B273C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 w:rsidR="003B273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Загальні положення</w:t>
      </w:r>
    </w:p>
    <w:p w:rsidR="00DB5A88" w:rsidRPr="007C464D" w:rsidRDefault="00DB5A88" w:rsidP="00DB5A88">
      <w:pPr>
        <w:pStyle w:val="a9"/>
        <w:spacing w:after="0" w:line="240" w:lineRule="auto"/>
        <w:ind w:right="-58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8C60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Це Положення регулює умови проведення конкурсу з відбору інвестора </w:t>
      </w:r>
      <w:r w:rsidR="007439E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7439E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а)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впровадження автоматизованої системи обліку оплати проїзду </w:t>
      </w:r>
      <w:r w:rsidR="003E528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(далі – АСООП) в </w:t>
      </w:r>
      <w:r w:rsidR="001E7E01" w:rsidRPr="007C464D">
        <w:rPr>
          <w:rFonts w:ascii="Times New Roman" w:eastAsia="Times New Roman" w:hAnsi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C77CD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розроблене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принципах відкритості, прозорості, дотримання конкуренції, змагальності та об’єктивності</w:t>
      </w:r>
      <w:r w:rsidR="0017306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визначає порядок організації, підготовки та проведення конкурсу з визначення особи (переможця конкурсу), яка запропонувала найкращі умови реалізації інвестиційного проєкту та якій буде надане право на укладання інвестиційного договору з реалізації цього інвестиційного проєкту (далі – конкурс). </w:t>
      </w:r>
    </w:p>
    <w:p w:rsidR="00F908ED" w:rsidRPr="007C464D" w:rsidRDefault="00F908ED" w:rsidP="008C6002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Цим Положенням визначається порядок проведення конкурсу з відбору інвестора </w:t>
      </w:r>
      <w:r w:rsidR="007439E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7439E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а)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впровадження </w:t>
      </w:r>
      <w:r w:rsidR="003E528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="001E7E0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1E7E01" w:rsidRPr="007C464D">
        <w:rPr>
          <w:rFonts w:ascii="Times New Roman" w:eastAsia="Times New Roman" w:hAnsi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17306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що дозволяє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ефективне надання послуг з перевезення пасажирів громадським транспортом незалежно від форми власності. </w:t>
      </w:r>
    </w:p>
    <w:p w:rsidR="00607FE2" w:rsidRPr="007C464D" w:rsidRDefault="00607FE2" w:rsidP="008C6002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8C60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 Терміни, які вживаються у цьому Положенні, мають таке значення: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автоматизоване робоче місце (</w:t>
      </w:r>
      <w:r w:rsidR="00F33A6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далі –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АРМ) –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інтерфейсна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частина комплексу, призначена для управління даними;</w:t>
      </w:r>
    </w:p>
    <w:p w:rsidR="001E7E01" w:rsidRPr="007C464D" w:rsidRDefault="001E7E01" w:rsidP="001E7E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="003E528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 це програмно-технічний комплекс, призначений для здійснення обліку наданих транспортних послуг за допомогою електронного квитка;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валідатор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(термінал) – пристрій для реєстрації проїзду та справляння/списання плати з пасажира (ручний та стаціонарний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валідатор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графіки руху – відомості про час і послідовність виконання рейсу; 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електронний квиток – безконтактна смарт-картка (БСК) – це проїзний документ, який після реєстрації в автоматизованій системі обліку оплати проїзду дає право пасажиру на одержання транспортних послуг;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заява (заява про намір взяти участь у конкурсі) – письмове звернення заявника про бажання та намір взяти участь у конкурсі;</w:t>
      </w:r>
    </w:p>
    <w:p w:rsidR="001E7E01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заявники – </w:t>
      </w:r>
      <w:r w:rsidR="001E7E0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суб’єкти господарювання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зареєстровані у встановленому порядку;</w:t>
      </w:r>
      <w:r w:rsidR="00F33A6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інвестиційний договір – договір, яким визначаються порядок та умови реалізації інвестиційного проєкту шляхом забезпечення інвестором (оператором) фінансування усіх витрат, пов’язаних із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проєктуванням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створенням, впровадженням, введенням в експлуатацію та подальшою експлуатацією об’єкта інвестування;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 (оператор) – переможець конкурсу, з яким у порядку, визначеному цим Положенням та чинним законодавством України, буде укладено інвестиційний договір. Переможець конкурсу набуває статусу інвестора (оператора) тільки після укладення інвестиційного договору та набрання ним чинності;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квитковий сервер – програмне забезпечення, що надає можливість віддаленого поповнення електронного квитка через автомати самообслуговування та мережу Інтернет;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конкурсна документація – пакет документів, який подається заявником на адресу конкурсної комісії;</w:t>
      </w:r>
    </w:p>
    <w:p w:rsidR="005E55E8" w:rsidRPr="007C464D" w:rsidRDefault="00D0120D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конкурсна комісія </w:t>
      </w:r>
      <w:r w:rsidR="005E55E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 тимчасовий колегіальний орган, який створюється для визначення переможця конкурсу згідно з розпорядженням голови Львівської обласної державної адміністрації;</w:t>
      </w:r>
      <w:r w:rsidR="005E55E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конкурсна пропозиція – документ, що містить пропозицію щодо участі у конкурсі з відбору інвестора (оператора), який оформлюється заявником відповідно до вимог чинного законодавства та цього Положення і подається на розгляд Комісії для прийняття нею рішень згідно з визначеними цим Положенням завданнями та компетенцією Комісії;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комісійний платіж – винагорода інвестора (оператора);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MasterCard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PayPass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Visa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РayWave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 технологія безконтактних платежів, що надає швидкий безконтактний спосіб проведення оплати;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маршрутна мережа – сукупність маршрутів громадського транспорту;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мова SQL – це діалогова мова програмування для здійснення запиту і внесення змін до бази даних, а також керування базами даних;</w:t>
      </w:r>
    </w:p>
    <w:p w:rsidR="005E55E8" w:rsidRPr="007C464D" w:rsidRDefault="009F3572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об’єкт інвестування – АСООП</w:t>
      </w:r>
      <w:r w:rsidR="005E55E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призначена для здійснення обліку наданих транспортних послуг за допомогою електронного квитка</w:t>
      </w:r>
      <w:r w:rsidR="001E7E0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</w:t>
      </w:r>
      <w:r w:rsidR="005E55E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E7E01" w:rsidRPr="007C464D">
        <w:rPr>
          <w:rFonts w:ascii="Times New Roman" w:eastAsia="Times New Roman" w:hAnsi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5E55E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оператор електронних систем у Львівській області – суб’єкт господарювання, що забезпечує функціонування </w:t>
      </w:r>
      <w:r w:rsidR="003E528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АСООП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1E7E01" w:rsidRPr="007C464D">
        <w:rPr>
          <w:rFonts w:ascii="Times New Roman" w:eastAsia="Times New Roman" w:hAnsi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1E7E0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підвищення якості та ефективності надання послуг з перевезення пасажирів громадським транспортом незалежно від форми власності, що уповноважується здійснювати справляння плати за транспортні послуги в разі запровадження </w:t>
      </w:r>
      <w:r w:rsidR="003E528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організатор перевезень – управління транспорту та зв’язку Львівської обласної державної адміністрації;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організатор проведення конкурсу з відбору інвестора (оператора) для впровадження </w:t>
      </w:r>
      <w:r w:rsidR="001E7E0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громадському транспорті Львівської області незалежно від форми власності (далі – Організатор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конкурсу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– управління транспорту та зв’язку Львівської обласної державної адміністрації;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перевізник – юридична особа, яка здійснює на комерційній/договірній основі чи за власний кошт перевезення пасажирів транспортними засобами;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переможець конкурсу – учасник конкурсу, який за рішенням конкурсної комісії виконав усі умови конкурсу та надав найкращу серед інших конкурсну пропозицію щодо реалізації ним інвестиційного проєкту;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пункти видачі, продажу та поповнення безконтактних карток – об’єкти, де пасажири та юридичні / фізичні особи мають змогу отримати, придбати та/або поповнювати безконтактні картки;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розклад руху – сукупність графіків руху громадського транспорту за маршрутом;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технологія NFC – технологія бездротової передачі даних малого радіусу дії, яка дає можливість обміну даними між пристроями;</w:t>
      </w:r>
    </w:p>
    <w:p w:rsidR="005E55E8" w:rsidRPr="007C464D" w:rsidRDefault="005E55E8" w:rsidP="005E55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учасники конкурсу – заявники, які у встановленому цим Положенням порядку подали на розгляд Комісії заяву про намір взяти участь у конкурсі та інші, визначені цим Положенням документи, а також отримали перелік прийнятих документів із </w:t>
      </w:r>
      <w:r w:rsidR="008F1F9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вказівкою реєстраційного номера.</w:t>
      </w:r>
    </w:p>
    <w:p w:rsidR="00DB5A88" w:rsidRPr="007C464D" w:rsidRDefault="00DB5A88" w:rsidP="002432E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583B45">
      <w:pPr>
        <w:pStyle w:val="a9"/>
        <w:tabs>
          <w:tab w:val="left" w:pos="0"/>
        </w:tabs>
        <w:spacing w:after="0" w:line="240" w:lineRule="auto"/>
        <w:ind w:left="0"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u-RU" w:eastAsia="ru-RU"/>
        </w:rPr>
        <w:t>ІІ</w:t>
      </w:r>
      <w:r w:rsidR="00583B45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Порядок створення та роботи конкурсної комісії</w:t>
      </w:r>
    </w:p>
    <w:p w:rsidR="00DB5A88" w:rsidRPr="007C464D" w:rsidRDefault="00DB5A88" w:rsidP="00DB5A88">
      <w:pPr>
        <w:tabs>
          <w:tab w:val="left" w:pos="0"/>
        </w:tabs>
        <w:spacing w:after="0" w:line="240" w:lineRule="auto"/>
        <w:ind w:left="360" w:right="-585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Для забезпечення підготовки та проведення конкурсу створюється конкурсна комісія (далі – Комісія).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1" w:name="_heading=h.3rdcrjn"/>
      <w:bookmarkEnd w:id="1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Комісія є колегіальним органом та створюється з метою забезпечення дотримання єдиних принципів при обранні переможця конкурсу, на умовах, визначених цим Положенням. Склад Комісії</w:t>
      </w:r>
      <w:r w:rsidR="00AC026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затверджується розпорядженням г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олови</w:t>
      </w:r>
      <w:r w:rsidR="00A42B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C683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Львівської обласної державної адміністрації</w:t>
      </w:r>
      <w:r w:rsidR="00583B4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 У своїй діяльності Комісія керується чинним законодавством України,</w:t>
      </w:r>
      <w:r w:rsidR="00D66E3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="0061657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розпорядженнями г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олови </w:t>
      </w:r>
      <w:r w:rsidR="004C683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Львівської обласної державної адміністрації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її виконавчих органів та цим Положенням.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4. Основними завданнями Комісії є:</w:t>
      </w: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підготовка та проведення конкурсу;</w:t>
      </w:r>
    </w:p>
    <w:p w:rsidR="00582DD7" w:rsidRPr="007C464D" w:rsidRDefault="00F908ED" w:rsidP="00062C3F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розгляд заяв, інших документів, відомостей та конкурсних пропозицій, наданих заявниками та учасниками конкурсу;</w:t>
      </w:r>
    </w:p>
    <w:p w:rsidR="00F908ED" w:rsidRPr="007C464D" w:rsidRDefault="00F908ED" w:rsidP="00062C3F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проведення аналізу заяв, інших документів, відомостей та конкурсних пропозицій на визначення їх відповідності умовам конкурсу;</w:t>
      </w:r>
    </w:p>
    <w:p w:rsidR="00F908ED" w:rsidRPr="007C464D" w:rsidRDefault="00F908ED" w:rsidP="00062C3F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оцінка наданих конкурсних пропозицій та підготовка протоколу конкурсної комісії про визначення найбільш вигідної конкурсної пропозиції;</w:t>
      </w:r>
    </w:p>
    <w:p w:rsidR="00F908ED" w:rsidRPr="007C464D" w:rsidRDefault="00F908ED" w:rsidP="00062C3F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визначення переможця конкурсу за підсумками проведеного конкурсу;</w:t>
      </w:r>
    </w:p>
    <w:p w:rsidR="00F908ED" w:rsidRPr="007C464D" w:rsidRDefault="00F908ED" w:rsidP="00062C3F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реєстрація та розгляд претензій та інших звернень, пов’язаних з рішеннями Комісії, підготовкою та проведенням конкурсу;</w:t>
      </w:r>
    </w:p>
    <w:p w:rsidR="00F908ED" w:rsidRPr="007C464D" w:rsidRDefault="00F908ED" w:rsidP="00062C3F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повідомлення учасників конкурсу про його результати.</w:t>
      </w:r>
    </w:p>
    <w:p w:rsidR="00607FE2" w:rsidRPr="007C464D" w:rsidRDefault="00607FE2" w:rsidP="00062C3F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5. Комісія для вирішення своїх завдань:</w:t>
      </w: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розглядає заяви, інші документи, відомості та конкурсні пропозиції та проводить їх аналіз;</w:t>
      </w: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проводить оцінку конкурсних пропозицій відповідно до розділу 7 цього Положення та за результатами конкурсу приймає рішення про визначення переможця конкурсу;</w:t>
      </w:r>
    </w:p>
    <w:p w:rsidR="00F908ED" w:rsidRPr="007C464D" w:rsidRDefault="00F908ED" w:rsidP="00F33A6E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забезпечує виконання рішення про проведення конкурсу.</w:t>
      </w:r>
    </w:p>
    <w:p w:rsidR="00607FE2" w:rsidRPr="007C464D" w:rsidRDefault="00607FE2" w:rsidP="00062C3F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6. Комісія має право:</w:t>
      </w: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залучати на договірній основі до роботи Комісії експертів, аудиторські, консультаційні та інші спеціалізовані організації;</w:t>
      </w: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запрошувати на засідання Комісії та заслуховувати представників учасників конкурсу;</w:t>
      </w: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отримувати від учасників конкурсу роз’яснення щодо наданих ними конкурсних пропозицій.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 Рішення про проведення засідання Комісії приймається її головою, а засідання проводиться під його головуванням. У разі відсутності на засіданні голови Комісії його повноваження виконує заступник голови Комісії.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8. Підготовка проведення засідань Комісії здійснюється її секретарем. Участі в оцінюванні конкурсних пропозицій, голосуванні та визначенні переможця секретар не бере.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9. Засідання Комісії вважається правомочним, якщо в його роботі бере участь не менше 2/3 її персонального складу з правом голосу.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10. Рішення Комісії приймається простою більшістю голосів присутніх з правом голосу на засіданні членів шляхом відкритого голосування. За умови однакової кількості голосів «за» і «проти» голос головуючого на засіданні Комісії є вирішальним.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11. Рішення Комісії оформляється протоколом, який склад</w:t>
      </w:r>
      <w:r w:rsidR="00062C3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ається секретарем, підписується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головуючим та секретарем</w:t>
      </w:r>
      <w:r w:rsidR="00062C3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Комісії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Член Комісії у разі незгоди з прийнятим рішенням або зі змістом протоколу може викласти у письмовій формі свою окрему думку (додається до протоколу), про що робиться відповідний запис у протоколі.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12. Оригінали протоколів засідань та матеріали до них зберігаються у секретаря Комісії.</w:t>
      </w:r>
    </w:p>
    <w:p w:rsidR="00607FE2" w:rsidRPr="007C464D" w:rsidRDefault="00607FE2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062C3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13. Контроль за виконанням рішень Комісії здійснює її голова.</w:t>
      </w:r>
    </w:p>
    <w:p w:rsidR="00486E9F" w:rsidRPr="007C464D" w:rsidRDefault="00486E9F" w:rsidP="00486E9F">
      <w:pPr>
        <w:pStyle w:val="a9"/>
        <w:tabs>
          <w:tab w:val="left" w:pos="0"/>
        </w:tabs>
        <w:spacing w:after="0" w:line="240" w:lineRule="auto"/>
        <w:ind w:left="0" w:right="-58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486E9F">
      <w:pPr>
        <w:pStyle w:val="a9"/>
        <w:tabs>
          <w:tab w:val="left" w:pos="0"/>
        </w:tabs>
        <w:spacing w:after="0" w:line="240" w:lineRule="auto"/>
        <w:ind w:left="0"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ІІІ</w:t>
      </w:r>
      <w:r w:rsidR="00486E9F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 w:rsidR="00486E9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Умови участі у конкурсі</w:t>
      </w:r>
    </w:p>
    <w:p w:rsidR="001623D4" w:rsidRPr="007C464D" w:rsidRDefault="001623D4" w:rsidP="00486E9F">
      <w:pPr>
        <w:pStyle w:val="a9"/>
        <w:tabs>
          <w:tab w:val="left" w:pos="0"/>
        </w:tabs>
        <w:spacing w:after="0" w:line="240" w:lineRule="auto"/>
        <w:ind w:left="0"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en-US" w:eastAsia="ru-RU"/>
        </w:rPr>
      </w:pPr>
    </w:p>
    <w:p w:rsidR="00F908ED" w:rsidRPr="007C464D" w:rsidRDefault="00F908ED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 Конкурс є відкритим для всіх претендентів. У конкурсі на визначення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інвестора (оператор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486E9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можуть брати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участь </w:t>
      </w:r>
      <w:r w:rsidR="0008241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заявники, які</w:t>
      </w:r>
      <w:r w:rsidR="000E33E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спроможні за рахунок власних капіталовкладень забезпечити впрова</w:t>
      </w:r>
      <w:r w:rsidR="00486E9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дження та функціонування АСООП 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Львівській області, а також відповідають вимогам цього Положення.</w:t>
      </w:r>
    </w:p>
    <w:p w:rsidR="00F908ED" w:rsidRPr="007C464D" w:rsidRDefault="00F908ED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участі у конкурсі заявник, крім заяви на участь у конкурсі, подає на розгляд Комісії конкурсну пропозицію, а також інші документи та відомості, які передбачені цим Положенням.</w:t>
      </w:r>
    </w:p>
    <w:p w:rsidR="00607FE2" w:rsidRPr="007C464D" w:rsidRDefault="00607FE2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 Оформлення та подання конкурсної документації є обов’язков</w:t>
      </w:r>
      <w:r w:rsidR="005E0DD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им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всіх заявників.</w:t>
      </w:r>
      <w:r w:rsidR="002759C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908ED" w:rsidRPr="007C464D" w:rsidRDefault="00F908ED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Учасником конкурсу не може бути </w:t>
      </w:r>
      <w:r w:rsidR="001623D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заявник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F908ED" w:rsidRPr="007C464D" w:rsidRDefault="00F908ED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майно яко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перебуває в податковій заставі;</w:t>
      </w:r>
    </w:p>
    <w:p w:rsidR="00F908ED" w:rsidRPr="007C464D" w:rsidRDefault="00F908ED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як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визнан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банкрутом або стосовно яко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порушено провадження справи про банкрутство або відновлення платоспроможності;</w:t>
      </w:r>
    </w:p>
    <w:p w:rsidR="00F908ED" w:rsidRPr="007C464D" w:rsidRDefault="00F908ED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щодо яко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прийнято рішення про припинення діяльності або діяльність якої припинено;</w:t>
      </w:r>
    </w:p>
    <w:p w:rsidR="00F908ED" w:rsidRPr="007C464D" w:rsidRDefault="00F908ED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як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не нада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всі</w:t>
      </w:r>
      <w:r w:rsidR="00486E9F" w:rsidRPr="007C464D">
        <w:rPr>
          <w:rFonts w:ascii="Times New Roman" w:eastAsia="Times New Roman" w:hAnsi="Times New Roman"/>
          <w:sz w:val="28"/>
          <w:szCs w:val="28"/>
          <w:lang w:eastAsia="ru-RU"/>
        </w:rPr>
        <w:t>х необхідних документів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у встановлений термін;</w:t>
      </w:r>
    </w:p>
    <w:p w:rsidR="00F908ED" w:rsidRPr="007C464D" w:rsidRDefault="00F908ED" w:rsidP="00486E9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як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вн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>іс</w:t>
      </w:r>
      <w:proofErr w:type="spellEnd"/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неправдиві відомості до документів або пода</w:t>
      </w:r>
      <w:r w:rsidR="0008241D" w:rsidRPr="007C464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неправдиві документи.</w:t>
      </w:r>
    </w:p>
    <w:p w:rsidR="00DB5A88" w:rsidRPr="007C464D" w:rsidRDefault="00DB5A88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336AF" w:rsidRPr="007C464D" w:rsidRDefault="004E6E9C" w:rsidP="00DB5A88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en-US" w:eastAsia="ru-RU"/>
        </w:rPr>
        <w:t>IV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 Основні умови ко</w:t>
      </w:r>
      <w:r w:rsidR="00A336AF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нкурсу та вимоги до майбутнього</w:t>
      </w:r>
    </w:p>
    <w:p w:rsidR="00F908ED" w:rsidRPr="007C464D" w:rsidRDefault="00F908ED" w:rsidP="00DB5A88">
      <w:pPr>
        <w:tabs>
          <w:tab w:val="left" w:pos="0"/>
        </w:tabs>
        <w:spacing w:after="0" w:line="240" w:lineRule="auto"/>
        <w:ind w:right="-1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інвестора</w:t>
      </w:r>
      <w:r w:rsidR="00070051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(</w:t>
      </w:r>
      <w:r w:rsidR="001B7A58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</w:t>
      </w:r>
      <w:r w:rsidR="00D37A23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ператор</w:t>
      </w:r>
      <w:r w:rsidR="00070051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а)</w:t>
      </w:r>
    </w:p>
    <w:p w:rsidR="00DB5A88" w:rsidRPr="007C464D" w:rsidRDefault="00DB5A88" w:rsidP="00DB5A88">
      <w:pPr>
        <w:tabs>
          <w:tab w:val="left" w:pos="0"/>
        </w:tabs>
        <w:spacing w:after="0" w:line="240" w:lineRule="auto"/>
        <w:ind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Інвестор </w:t>
      </w:r>
      <w:r w:rsidR="0007005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07005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повинен забезпечити фінансування усіх витрат, пов’язаних із впровадженням 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</w:t>
      </w:r>
      <w:r w:rsidR="00090A7C" w:rsidRPr="007C464D">
        <w:rPr>
          <w:rFonts w:ascii="Times New Roman" w:eastAsia="Times New Roman" w:hAnsi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а саме: </w:t>
      </w:r>
      <w:proofErr w:type="spellStart"/>
      <w:r w:rsidR="00A336A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проєктування</w:t>
      </w:r>
      <w:proofErr w:type="spellEnd"/>
      <w:r w:rsidR="00A336A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створення, встановлення, проведення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пусконалагоджувальних робіт </w:t>
      </w:r>
      <w:r w:rsidR="00A336A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 демонстраційним пуском об’єкта інвестування. </w:t>
      </w:r>
      <w:r w:rsidR="00A336A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Введення в експлуатацію 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="00A336A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чи її окремих етапів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здійснюється відповідно до умов інвестиційного договору.</w:t>
      </w:r>
    </w:p>
    <w:p w:rsidR="004B7EFC" w:rsidRPr="007C464D" w:rsidRDefault="004B7EFC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 Загальна орієнтовна вартість впровадження об’</w:t>
      </w:r>
      <w:r w:rsidR="0083126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єкта інвестування визначається 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нвестором</w:t>
      </w:r>
      <w:r w:rsidR="0083126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83126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ом)</w:t>
      </w:r>
      <w:r w:rsidR="00A336A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самостійно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відповідно до орієнтовних техніко-економічних показників складових об’єкта</w:t>
      </w:r>
      <w:r w:rsidR="002E71E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інвестування, відображених у</w:t>
      </w:r>
      <w:r w:rsidR="00A42B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розділі </w:t>
      </w:r>
      <w:r w:rsidR="00A42B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IX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цього Положення.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 Термін введення в експлуатацію об’єкта інвестування повинен визначатися в конкурсній пропозиції.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9479A6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4. Впродовж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дії інвестиційного договору </w:t>
      </w:r>
      <w:r w:rsidR="0083126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 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A336A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є власником обладнання, іншого майна та майнових прав на створені об’єкти в результаті впровадження об’єкта інвестування. Інвестиційний договір набирає чинності з дня його підписання сторонами і діє строком не менше 5 років. За згодою сторін термін дії договору може бути продо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вжено в порядку, визначеному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остановою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Кабінету </w:t>
      </w:r>
      <w:r w:rsidR="00582DD7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Міністрів України 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від 18</w:t>
      </w:r>
      <w:r w:rsidR="001623D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лютого 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1997</w:t>
      </w:r>
      <w:r w:rsidR="001623D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 176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 затвердження Правил надання послуг пасажирс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ького автомобільного транспорту».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582DD7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Організація приймання коштів від споживачів послуг, їх обробка, розподіл та перерахування перевізникам з використанням об’єкта інвестування повинна здійснюватися на підставі окремих договорів між </w:t>
      </w:r>
      <w:r w:rsidR="001B7A5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інвестором (о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ператор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</w:t>
      </w:r>
      <w:r w:rsidR="001B7A5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та перевізником і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норм чинного законодавства, зокрема: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кошти від придбання та поповнення електронних квитків пасажирами надходять на рахунок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інвестора(оператор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що від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критий у фінансовій установі, яка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зареєстрована та діє на території України й відповідає Закону України «Про </w:t>
      </w:r>
      <w:r w:rsidR="009479A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банки та банківську діяльність»;</w:t>
      </w:r>
    </w:p>
    <w:p w:rsidR="00F908ED" w:rsidRPr="007C464D" w:rsidRDefault="00582DD7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 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кожного наступного після звітного дня за допомогою програмного забезпечення та зібраних даних за допомогою АСООП формує звіт про фактичну к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ількість перевезених пасажирів у розрізі перевізників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також по кожному транспортному засоб</w:t>
      </w:r>
      <w:r w:rsidR="009479A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 кожного окремого перевізника;</w:t>
      </w:r>
    </w:p>
    <w:p w:rsidR="00F908ED" w:rsidRPr="007C464D" w:rsidRDefault="00582DD7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 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основі отриманих даних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проводить перерахунок коштів, отриманих від пасажирів за надані транспортн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 послуги, кожному перевізнику залежно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від фактично виконаної роботи (кількості перевезених пасажирів)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 винятком своєї винагороди, визна</w:t>
      </w:r>
      <w:r w:rsidR="009479A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ченої в інвестиційному договорі;</w:t>
      </w:r>
    </w:p>
    <w:p w:rsidR="00F908ED" w:rsidRPr="007C464D" w:rsidRDefault="00582DD7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інвестору 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у)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забороняється вносити будь-які зміни у звіти, 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викладені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основі даних, що сформовані </w:t>
      </w:r>
      <w:proofErr w:type="spellStart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валідаторами</w:t>
      </w:r>
      <w:proofErr w:type="spellEnd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під час роботи транспортних засобів на лі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нії та роботи пунктів продажу і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поповнення безконтактних карток. Форми звітів погоджуються </w:t>
      </w:r>
      <w:r w:rsidR="0007005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інвестором 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</w:t>
      </w:r>
      <w:r w:rsidR="0007005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Організатором 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конкурсу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та 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еревізником. З метою запобіган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ня спотворенню реальних даних щодо транспортних транзакцій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7005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інвестору 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="0007005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забороняється самостійно вносити зміни у програмне забезпечення АСООП, яке відповідає за формування звітів.</w:t>
      </w:r>
    </w:p>
    <w:p w:rsidR="00090A7C" w:rsidRPr="007C464D" w:rsidRDefault="00090A7C" w:rsidP="002432ED">
      <w:pPr>
        <w:shd w:val="clear" w:color="auto" w:fill="FFFFFF"/>
        <w:tabs>
          <w:tab w:val="left" w:pos="0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582DD7" w:rsidP="002432ED">
      <w:pPr>
        <w:shd w:val="clear" w:color="auto" w:fill="FFFFFF"/>
        <w:tabs>
          <w:tab w:val="left" w:pos="0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Інвестор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несе відповідальність за організацію повного та своєчасного фінансування впровадження об’єкта інвестування, виконання всіх інших умов, спрямованих на впровадження об’єкта інвестування.</w:t>
      </w:r>
    </w:p>
    <w:p w:rsidR="00607FE2" w:rsidRPr="007C464D" w:rsidRDefault="00607FE2" w:rsidP="002432ED">
      <w:pPr>
        <w:shd w:val="clear" w:color="auto" w:fill="FFFFFF"/>
        <w:tabs>
          <w:tab w:val="left" w:pos="0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582DD7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7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Інвестор 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вимогу Організатора конкурсу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повинен надавати інформацію стосовно стану реалізації інвестиційного проєкту.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582DD7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Учасник конкурсу має право подати додаткові пропозиції до конкурсної пропозиції, спрямовані на найбільш ефективну реалізацію інвестиційного проєкту, створення соціальної та інженерно-транспортної інфраструктури, нових робочих місць.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582DD7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Розмір комісійної винагороди за виконання функцій 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інвестора (оператор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визначається у конкурсній пропозиції.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582DD7" w:rsidP="00090A7C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Інвестор (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разі визначення його переможцем конкурсу повинен за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безпечити функціонування АСООП 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090A7C" w:rsidRPr="007C464D">
        <w:rPr>
          <w:rFonts w:ascii="Times New Roman" w:eastAsia="Times New Roman" w:hAnsi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зокрема: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акумулювання та адміністрування коштів, що вносяться пасажирами на електронні квитки чи при придбанні таких;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забезпечення взяття та виконання необхідних договірних зобов’язань;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аналіз діяльності та формування різноманітних статистичних даних для їх подальшого використання у покращенні надання транспортних послуг;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формування пропозицій з покращення надання транспортних послуг;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надання консультацій та роз’яснень з питань діяльності;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</w:t>
      </w:r>
      <w:r w:rsidR="0003569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числення консолідованих даних щодо всіх проїздів та проведених транзакцій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 оплати/передплати транспортних послуг;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розподіл отриманих коштів між перевізниками на підставі обсягів фактично виконаної роботи (кількості перевезених пасажирів);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забезпечення кожному 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еревізнику клієнтського доступу до бази д</w:t>
      </w:r>
      <w:r w:rsidR="00230DF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аних АСООП щодо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транспортних транзакцій стосовно власного транспорту з урахуванням вимог </w:t>
      </w:r>
      <w:r w:rsidR="001B7A5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інвестора (о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ператор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1B7A5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 наданні такого доступу (без можливості внесення змін та коригувань);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наявність в учасника обладнання, матеріально-технічної бази у власності чи користуванні для виготовлення електронних квитків усіх необхідних видів, зокрема, але не виключно</w:t>
      </w:r>
      <w:r w:rsidR="00C91E3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багаторазових 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разових неперсоніфікованих, багаторазових персоніфікованих, службових, пільгових та інших. Вид безконтактної картки, зовнішній вигляд, номінальна вартість та інші істотні вимоги визначаються відповідним актом Організатора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конкурсу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; </w:t>
      </w:r>
    </w:p>
    <w:p w:rsidR="00F908ED" w:rsidRPr="007C464D" w:rsidRDefault="00C91E3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наявність матеріально-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технічної бази для прог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рамування безконтактних карток залежно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від їх виду та призначення (оплата чи реєстрація проїзду);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наявність в учасника обладнання, матеріально-технічної бази у власності чи користуванні </w:t>
      </w:r>
      <w:r w:rsidR="00C91E3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можливості розповсюдження 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поповнення в пунктах продажу та поповнення електронних квитків;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забезпечення можливості поповнення ел</w:t>
      </w:r>
      <w:r w:rsidR="00C91E3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ектронних квитків через мережу 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нтернет, </w:t>
      </w:r>
      <w:r w:rsidR="00C91E3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 терміналах самообслуговування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тощо (створення квиткового сервера); 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укладення відповідних договорів на користування базами персональних даних із власниками таких баз;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захист персональних даних та їх використання відповідно до вимог Закону України «Про захист персональних даних»</w:t>
      </w:r>
      <w:r w:rsidR="001623D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надання довідкової та роз’яснювальної інформації пасажирам стосовно придбання, поповнення та користування електронними квитками;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приймання скарг від пасажирів щодо роботи системи та користування електронними квитками, розгляд та надання ґрунтовних відповідей;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блокування та розблокування електронних квитків;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подання пропозицій Організатору 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конкурсу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щодо зміни тарифних планів електронних квитків; 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інші технічні дії із безконтактними картками, що дозволені системою та узгоджені із власником такої картки;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забезпечення безперебійної роботи обладнання та програмного забезпечення;</w:t>
      </w:r>
    </w:p>
    <w:p w:rsidR="00F908ED" w:rsidRPr="007C464D" w:rsidRDefault="00C91E3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синхронізація роботи в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сіх елементів системи, усунення збоїв та недоліків у роботі;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контроль за оплатою/фіксацією проїзду пасажирами.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2357E7">
      <w:pPr>
        <w:pStyle w:val="a9"/>
        <w:tabs>
          <w:tab w:val="left" w:pos="0"/>
        </w:tabs>
        <w:spacing w:after="0" w:line="240" w:lineRule="auto"/>
        <w:ind w:left="0"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bookmarkStart w:id="2" w:name="_heading=h.26in1rg"/>
      <w:bookmarkStart w:id="3" w:name="bookmark=id.lnxbz9"/>
      <w:bookmarkEnd w:id="2"/>
      <w:bookmarkEnd w:id="3"/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en-US" w:eastAsia="ru-RU"/>
        </w:rPr>
        <w:t>V</w:t>
      </w:r>
      <w:r w:rsidR="002357E7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Оголошення конкурсу</w:t>
      </w:r>
    </w:p>
    <w:p w:rsidR="00DB5A88" w:rsidRPr="007C464D" w:rsidRDefault="00DB5A88" w:rsidP="00DB5A88">
      <w:pPr>
        <w:pStyle w:val="a9"/>
        <w:tabs>
          <w:tab w:val="left" w:pos="0"/>
        </w:tabs>
        <w:spacing w:after="0" w:line="240" w:lineRule="auto"/>
        <w:ind w:right="-585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Організатор конкурсу протягом тридцяти робочих днів із </w:t>
      </w:r>
      <w:r w:rsidR="001623D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дати набрання чинності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цього Положення розробляє та затверджує конкурсну документацію, оголошує дату проведення конкурсу.</w:t>
      </w:r>
    </w:p>
    <w:p w:rsidR="00607FE2" w:rsidRPr="007C464D" w:rsidRDefault="00607FE2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 Офіційне оголошення про дату, час, місце та умови проведення конкурсу (інформація про проведення конкурсу) публікується в друкованих засобах масової інформації та на офіційному сайті </w:t>
      </w:r>
      <w:r w:rsidR="004C683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Львівської обласної державної адміністрації</w:t>
      </w:r>
      <w:r w:rsidR="0037332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607FE2" w:rsidRPr="007C464D" w:rsidRDefault="00607FE2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33018" w:rsidRPr="007C464D" w:rsidRDefault="00F908ED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 Інформація про проведення конкурсу повинна містити:</w:t>
      </w:r>
    </w:p>
    <w:p w:rsidR="00D33018" w:rsidRPr="007C464D" w:rsidRDefault="00F908ED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найменування</w:t>
      </w:r>
      <w:r w:rsidR="002C5F3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місцезнаходження та контакти О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рганізатора конкурсу;</w:t>
      </w:r>
    </w:p>
    <w:p w:rsidR="00D33018" w:rsidRPr="007C464D" w:rsidRDefault="00F908ED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предмет конкурсу та вимоги до заявників;</w:t>
      </w:r>
    </w:p>
    <w:p w:rsidR="00D33018" w:rsidRPr="007C464D" w:rsidRDefault="00F908ED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основні положення та умови реалізації інвестиційного проєкту;</w:t>
      </w:r>
    </w:p>
    <w:p w:rsidR="00F908ED" w:rsidRPr="007C464D" w:rsidRDefault="00F908ED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дату, час і місце проведення конкурсу;</w:t>
      </w:r>
    </w:p>
    <w:p w:rsidR="00D33018" w:rsidRPr="007C464D" w:rsidRDefault="00D33018" w:rsidP="00D33018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порядок і терміни подання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для участі у конкурсі заяви та конкурсних пропозицій, поштову адресу для їх надання;</w:t>
      </w:r>
    </w:p>
    <w:p w:rsidR="00D33018" w:rsidRPr="007C464D" w:rsidRDefault="00F908ED" w:rsidP="00D33018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перелік документів, що додаються до заяви на участь у конкурсі;</w:t>
      </w:r>
    </w:p>
    <w:p w:rsidR="00F908ED" w:rsidRPr="007C464D" w:rsidRDefault="00D33018" w:rsidP="00D33018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інші відомості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 разі необхідності (за рішенням Комісії).</w:t>
      </w:r>
    </w:p>
    <w:p w:rsidR="00607FE2" w:rsidRPr="007C464D" w:rsidRDefault="00607FE2" w:rsidP="00D33018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D33018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4. Конкурс складається з таких етапів:</w:t>
      </w:r>
    </w:p>
    <w:p w:rsidR="00F908ED" w:rsidRPr="007C464D" w:rsidRDefault="002C2D6D" w:rsidP="00D33018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п</w:t>
      </w:r>
      <w:r w:rsidR="00D3301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одання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заявок на участь у конкурсі та інших документів, визначених цим Положенням;</w:t>
      </w:r>
    </w:p>
    <w:p w:rsidR="00F908ED" w:rsidRPr="007C464D" w:rsidRDefault="002C2D6D" w:rsidP="00D33018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наліз та оцінка наданих заявником документів на відповідність цьому Пол</w:t>
      </w:r>
      <w:r w:rsidR="00D3301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оженню (кваліфікаційна оцінка)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(конверт №1) та ухвалення, у разі наявності підст</w:t>
      </w:r>
      <w:r w:rsidR="00D3301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ав, рішення про відмову учасникові в участі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конкурсі та відхилення конкурсної пропозиції;</w:t>
      </w:r>
    </w:p>
    <w:p w:rsidR="00F908ED" w:rsidRPr="007C464D" w:rsidRDefault="002C2D6D" w:rsidP="00D33018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D3301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озкриття конверта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 конкурсними пропозиціями учасників конкурсу та їх оцінка</w:t>
      </w:r>
      <w:r w:rsidR="00D3301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(оцінка конкурсних пропозицій)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(конверт №2);</w:t>
      </w:r>
    </w:p>
    <w:p w:rsidR="00F908ED" w:rsidRPr="007C464D" w:rsidRDefault="002C2D6D" w:rsidP="00D33018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изначення переможця конкурсу.</w:t>
      </w:r>
    </w:p>
    <w:p w:rsidR="002432ED" w:rsidRPr="007C464D" w:rsidRDefault="002432ED" w:rsidP="002432ED">
      <w:pPr>
        <w:tabs>
          <w:tab w:val="left" w:pos="0"/>
        </w:tabs>
        <w:spacing w:after="0" w:line="240" w:lineRule="auto"/>
        <w:ind w:right="-585" w:firstLine="567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D33018">
      <w:pPr>
        <w:pStyle w:val="a9"/>
        <w:tabs>
          <w:tab w:val="left" w:pos="0"/>
        </w:tabs>
        <w:spacing w:after="0" w:line="240" w:lineRule="auto"/>
        <w:ind w:left="0"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en-US" w:eastAsia="ru-RU"/>
        </w:rPr>
        <w:t>VI</w:t>
      </w:r>
      <w:r w:rsidR="00D33018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Порядок оформлення права на участь у конкурсі</w:t>
      </w:r>
    </w:p>
    <w:p w:rsidR="00DB5A88" w:rsidRPr="007C464D" w:rsidRDefault="00DB5A88" w:rsidP="00DB5A88">
      <w:pPr>
        <w:pStyle w:val="a9"/>
        <w:tabs>
          <w:tab w:val="left" w:pos="0"/>
        </w:tabs>
        <w:spacing w:after="0" w:line="240" w:lineRule="auto"/>
        <w:ind w:right="-585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До участі у конкурсі 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допускаються </w:t>
      </w:r>
      <w:r w:rsidR="002C5F31" w:rsidRPr="007C464D">
        <w:rPr>
          <w:rFonts w:ascii="Times New Roman" w:eastAsia="Times New Roman" w:hAnsi="Times New Roman"/>
          <w:sz w:val="28"/>
          <w:szCs w:val="28"/>
          <w:lang w:eastAsia="ru-RU"/>
        </w:rPr>
        <w:t>учасники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які відповід</w:t>
      </w:r>
      <w:r w:rsidR="002C5F3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ають вимогам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цього Положення, своєчасно подали на розгляд Комісії заяву на участь у конкурсі, а також надали інші документи, які за оцінкою Комісії відповідають вимогам, передбаченим цим Положенням.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5915CE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 Подання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заяви на участь у конкурсі означає згоду заявника з умовами конкурсу і прийняття ним обов’язку неухильно дотримуватися цих умов. За порушення зобов’язань учасник </w:t>
      </w:r>
      <w:r w:rsidR="002C5F3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конкурсу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допускається до конкурсу, а його заява відхиляється.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57C4E" w:rsidRPr="007C464D" w:rsidRDefault="00F908ED" w:rsidP="00E4504B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 Для участі</w:t>
      </w:r>
      <w:r w:rsidR="00E4504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 конкурсі заявником надається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:</w:t>
      </w:r>
    </w:p>
    <w:p w:rsidR="00607FE2" w:rsidRPr="007C464D" w:rsidRDefault="00607FE2" w:rsidP="00E4504B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</w:p>
    <w:p w:rsidR="00F908ED" w:rsidRPr="007C464D" w:rsidRDefault="00601DB3" w:rsidP="00E4504B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1)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аява на участь у конкурсі довільної форми, до якої додаються: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засвідчена належним чином, відповідно</w:t>
      </w:r>
      <w:r w:rsidR="005915C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 вимог законодавства, копія С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татуту та витяг з Єдиного</w:t>
      </w:r>
      <w:r w:rsidR="005915C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державного реєстру юридичних осіб,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фізичних осіб-підприємців </w:t>
      </w:r>
      <w:r w:rsidR="005915C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та громадських формувань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(для юридичних осіб, що зареєстровані у порядку, передбаченому законодавством України);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документи, що свідчать про реєстрацію (утворення) іноземної юридичної особи у державі, її місцезнаходження (наприклад, витяг із банківського аб</w:t>
      </w:r>
      <w:r w:rsidR="005915C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 судового реєстру), засвідчені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відповідно до законодавства держави їх видачі, перекладені українською мовою та легалізовані у консульській установі України (якщо інше не передбачено міжнародними договорами України) або засвідчені у посольстві відповідної держави в Україні та легалізовані в центральному органі виконавчої влади з питань забезпечення реалізації державної політики у сфері зовнішніх відносин</w:t>
      </w:r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України (для юридичної особи-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нерезидента);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довідка органів Державної фіскальної служби України, що підтверджує відсутність заборгованості зі сплати податків, зборів та інших обов’язкових платежів (для юрид</w:t>
      </w:r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ичної особи-резидента) на момент подання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документів, але не раніше дати оголошення конкурсу;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засвідчена належним чином, відповідно до вимог</w:t>
      </w:r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законодавства, копія документа(-</w:t>
      </w:r>
      <w:proofErr w:type="spellStart"/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ів</w:t>
      </w:r>
      <w:proofErr w:type="spellEnd"/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), що підтверджує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(-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ють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 право інтелектуальної власності або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наявність права використання програмного забезпечення</w:t>
      </w:r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(ліцензійний договір з автором(-</w:t>
      </w:r>
      <w:proofErr w:type="spellStart"/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ами</w:t>
      </w:r>
      <w:proofErr w:type="spellEnd"/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чи правовласником(-</w:t>
      </w:r>
      <w:proofErr w:type="spellStart"/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ами</w:t>
      </w:r>
      <w:proofErr w:type="spellEnd"/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), необхідний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для впровадження об’єкта інвестування та його подальшої роботи);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підтвердження повноважень керівника на укладання інвестиційного договору;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підтвердження повноважень представника претендента на участь у конкурсі;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інші докум</w:t>
      </w:r>
      <w:r w:rsidR="00C1452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енти, якщо такі будуть вказані у</w:t>
      </w:r>
      <w:r w:rsidR="008F1F9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конкурсній документації;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601DB3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2)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онкурсна пропозиція щодо виконання умов конкурсу має містити довільний о</w:t>
      </w:r>
      <w:r w:rsidR="00E4504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пис роботи, шляхи впровадження й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обслуговування розробленої</w:t>
      </w:r>
      <w:r w:rsidR="00E4504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АСООП та інше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що </w:t>
      </w:r>
      <w:r w:rsidR="00E4504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буде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оціню</w:t>
      </w:r>
      <w:r w:rsidR="00E4504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ватися</w:t>
      </w:r>
      <w:r w:rsidR="000649F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згідно з </w:t>
      </w:r>
      <w:r w:rsidR="00E4504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пункт</w:t>
      </w:r>
      <w:r w:rsidR="002759C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ами 2 та</w:t>
      </w:r>
      <w:r w:rsidR="00E4504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 </w:t>
      </w:r>
      <w:r w:rsidR="00D218D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42B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розділу </w:t>
      </w:r>
      <w:r w:rsidR="00A42B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VII</w:t>
      </w:r>
      <w:r w:rsidR="000649F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цього Положення.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9900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4. У разі якщо </w:t>
      </w:r>
      <w:r w:rsidR="002C5F31" w:rsidRPr="007C464D">
        <w:rPr>
          <w:rFonts w:ascii="Times New Roman" w:eastAsia="Times New Roman" w:hAnsi="Times New Roman"/>
          <w:sz w:val="28"/>
          <w:szCs w:val="28"/>
          <w:lang w:eastAsia="ru-RU"/>
        </w:rPr>
        <w:t>суб’єкт господарювання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, як</w:t>
      </w:r>
      <w:r w:rsidR="002C5F31" w:rsidRPr="007C464D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вияви</w:t>
      </w:r>
      <w:r w:rsidR="002C5F31"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бажання взяти участь у конкурсі,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вважає за необхідне залучити для виконання договору співвиконавців (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співінвесторів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кредиторів тощо), до</w:t>
      </w:r>
      <w:r w:rsidR="002C5F3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конкурсної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пропозиції можуть бути додані документи, що свідчать про реальну домовленість із зазначеними співвиконавцями (протоколи про наміри, попередні договори, гарантійні листи тощо).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 </w:t>
      </w:r>
      <w:r w:rsidR="002C5F3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Конкурсні п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ропозиції </w:t>
      </w:r>
      <w:r w:rsidR="002C5F31" w:rsidRPr="007C464D">
        <w:rPr>
          <w:rFonts w:ascii="Times New Roman" w:eastAsia="Times New Roman" w:hAnsi="Times New Roman"/>
          <w:sz w:val="28"/>
          <w:szCs w:val="28"/>
          <w:lang w:eastAsia="ru-RU"/>
        </w:rPr>
        <w:t>заявників,</w:t>
      </w:r>
      <w:r w:rsidR="002C5F3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які виявили бажання взяти участь у конкурсі, повинні відповідати умовам цього Положення.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6. Заява і документи, що додаються до </w:t>
      </w:r>
      <w:r w:rsidR="002C5F3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Конкурсної пропозиції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подаються в оригіналах або </w:t>
      </w:r>
      <w:r w:rsidR="002C5F3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належним чином завірених копіях,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підписані керівником </w:t>
      </w:r>
      <w:r w:rsidR="002C5F3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суб’єкта господарювання. Д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окументи 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мають бути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прошиті та пронумеровані, скріплені печаткою 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 позначенням кількості сторінок цифрами і словами.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 Конкурсні документи, передбачені:</w:t>
      </w:r>
    </w:p>
    <w:p w:rsidR="00F908ED" w:rsidRPr="007C464D" w:rsidRDefault="004E6E9C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підпунктом </w:t>
      </w:r>
      <w:r w:rsidR="00601DB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 пункту 3 цього розділу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– подаються запечатаними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конверті № 1 з позначкою «Для участі в конкурсі з відбору інвестора </w:t>
      </w:r>
      <w:r w:rsidR="00892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D94F2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ператор</w:t>
      </w:r>
      <w:r w:rsidR="00892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а)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ля впровадження АСООП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приміських та міжміських автобусних маршрутах загального користування Львівської області», </w:t>
      </w:r>
      <w:r w:rsidR="00D57C4E"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зазначаються </w:t>
      </w:r>
      <w:r w:rsidR="00F908ED"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назва претендента, код ЄДРПОУ, місцезнаходження юридичної </w:t>
      </w:r>
      <w:r w:rsidR="008F1F9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особи та поштова адреса;</w:t>
      </w:r>
    </w:p>
    <w:p w:rsidR="00F908ED" w:rsidRPr="007C464D" w:rsidRDefault="002C5F31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підпунктом 2 пункту 3 цього розділу</w:t>
      </w:r>
      <w:r w:rsidR="00D57C4E" w:rsidRPr="007C464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,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 подаються запечатаними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 конверті № 2 з позначкою «Для участі в конкурсі з відбору інвестора</w:t>
      </w:r>
      <w:r w:rsidR="00892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D94F2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ператор</w:t>
      </w:r>
      <w:r w:rsidR="00892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а)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для впровадження АСООП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приміських та міжміських автобусних маршрутах загального користування Львівської області», </w:t>
      </w:r>
      <w:r w:rsidR="00D57C4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зазначаються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назва претендента, код ЄДРПОУ, місцезнаходження 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суб’єкта господарювання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та поштова адреса.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Всі конкурсні документи повинні бути заповнені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розбірливо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оформлені належним чином та підписані однією і тією ж особою, підписи повинні бути завірені згідно з чинним законодавством. Виправлення не допускаються.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Невідповідність документів пред’явленим вимогам є підставою визнання їх Комісією такими, що не відповідають конкурсу та вимогам, визначеним цим Положенням, що є підставою для відхилення заяви.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8. Заява, інші документи, відомості та конкурсна пропозиція надаються до Комісії за вказаною в оголошенні поштовою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Термін прийому 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конкурсних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документів визначається за датою їх фактичної доставки.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9. Секретар Комісії реєструє подані заявником 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конкурсні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документи в журналі прийому конкурсних документів.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10. За результатами аналізу та оцінки наданих заявником 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конкурсних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документів на відповідність цьому Положенню (кваліфікаційної оцінки) до участі в конкурсі не допускаються претенденти, які: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контролюються один одним, перебувають під спільним контролем або є пов’язаними особами згідно із Законом України «Про захист економічної конкуренції» (у разі подання заявки окремо кожним таким претендентом);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подали заяву та документи, що не відповіда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ють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вимогам, визначеним цим Положенням та конкурсною документацією.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Після проведення кваліфікаційної оцінки заявник допускається до конкурсу або приймається рішення про недопущення заявника до участі в конкурсі з обґрунтуванням відмови.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tabs>
          <w:tab w:val="left" w:pos="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11. Після закінчення встановленого терміну прийом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конкурсної документації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припиняється. Внесення змін до поданих конкурсних пропозицій після закінчення встановленого терміну прийому заяв не допускається.</w:t>
      </w:r>
    </w:p>
    <w:p w:rsidR="00607FE2" w:rsidRPr="007C464D" w:rsidRDefault="00607FE2" w:rsidP="002432ED">
      <w:pPr>
        <w:tabs>
          <w:tab w:val="left" w:pos="0"/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12. Учасник конкурсу має право відкликати свою конкурсну пропозицію до початку проведення конкурсу, повідомивши про це письмово Організатора конкурсу. Датою відклику пропозиції є дата надходження та реєстрації звернення учасника 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конкурсу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реєстрі вхідних документів Організатора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конкурусу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13. Надана заявником конкурсна документація розглядається як його пропозиція щодо укладення інвестиційного договору на умовах, визначених як основні умови конкурсу, та умовах, додатково викладених заявником у своїй конкурсній пропозиції.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14. Заявник може оформити та подати тільки один комплект конкурсної документації. Заявник може надати єдину конкурсну документацію від групи компаній (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співінвесторів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фінансових установ тощо), що має бути зафіксовано відповідними угодами між ними.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15. Конкурсні пропозиції, отримані Комісією після закінчення строку подачі, не розгл</w:t>
      </w:r>
      <w:r w:rsidR="00E91F2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ядаються і повертаються 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заявнику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 нерозпечатаних конвертах.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16. У д</w:t>
      </w:r>
      <w:r w:rsidR="00E91F2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ень закінчення строку для подання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конкурсних пропозицій секретар Комісії проводить закриття журналу заяв (журналу прийому конкурсних пропозицій) відповідним записом у рядку, наступному після реєстраційних даних про останнього учасника.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E91F24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17. Ненадання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конкурсній пропозиції необхідної інформації, надання її у неповному обсязі, надання неправдивої інформації є підставою для недопущення учасника конкурсу та виключення й</w:t>
      </w:r>
      <w:r w:rsidR="00D218D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ого з числа учасників конкурсу.</w:t>
      </w:r>
    </w:p>
    <w:p w:rsidR="00E91F24" w:rsidRPr="007C464D" w:rsidRDefault="00E91F24" w:rsidP="00E91F24">
      <w:pPr>
        <w:pStyle w:val="a9"/>
        <w:tabs>
          <w:tab w:val="left" w:pos="0"/>
        </w:tabs>
        <w:spacing w:after="0" w:line="240" w:lineRule="auto"/>
        <w:ind w:left="0" w:right="-58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E91F24">
      <w:pPr>
        <w:pStyle w:val="a9"/>
        <w:tabs>
          <w:tab w:val="left" w:pos="0"/>
        </w:tabs>
        <w:spacing w:after="0" w:line="240" w:lineRule="auto"/>
        <w:ind w:left="0"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en-US" w:eastAsia="ru-RU"/>
        </w:rPr>
        <w:t>VII</w:t>
      </w:r>
      <w:r w:rsidR="00E91F24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 w:rsidR="00E91F2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Проведення конкурсу та визначення</w:t>
      </w:r>
      <w:bookmarkStart w:id="4" w:name="bookmark=id.35nkun2"/>
      <w:bookmarkEnd w:id="4"/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переможця</w:t>
      </w:r>
    </w:p>
    <w:p w:rsidR="00DB5A88" w:rsidRPr="007C464D" w:rsidRDefault="00DB5A88" w:rsidP="00DB5A88">
      <w:pPr>
        <w:pStyle w:val="a9"/>
        <w:tabs>
          <w:tab w:val="left" w:pos="0"/>
        </w:tabs>
        <w:spacing w:after="0" w:line="240" w:lineRule="auto"/>
        <w:ind w:right="-585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8228D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Під час проведення конкурсу Комісія розглядає пропозиції учасників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конкурсу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підс</w:t>
      </w:r>
      <w:r w:rsidR="008228D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таві інформації, поданої ними 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конвертах № 1 і 2. На засіданні Комісії секретар Комісії відкриває конверти, ознайомлює з документами, що надійшли на розгляд від учасників конкурсу.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Претендентам надається право обґрунтувати подані пропозиції, продемонструвати запропоновану систему АСООП та відповісти на запитання під час засідання на запрошення </w:t>
      </w:r>
      <w:r w:rsidR="0098581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</w:t>
      </w:r>
      <w:r w:rsidR="008228D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омісії відповідно до пункту</w:t>
      </w:r>
      <w:r w:rsidR="0098581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8228D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розділу</w:t>
      </w:r>
      <w:r w:rsidR="0098581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II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цього Положення. Під час проведення конкурсу додаткові пропозиції від претендентів не приймаються.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Демонстрація запропонованої системи АСООП відбувається за регламентом</w:t>
      </w:r>
      <w:r w:rsidR="007D369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встановленим Комісією.</w:t>
      </w:r>
    </w:p>
    <w:p w:rsidR="00F908ED" w:rsidRPr="007C464D" w:rsidRDefault="00EB2DF1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протоколі розкриття конвертів відображається інформація про комплектність документів кожного учасника, правильність їх оформлення та завірення, відповідність наданої інформації умовам конкурсу</w:t>
      </w:r>
      <w:r w:rsidR="00146B6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визначеним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цим Положенням.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Учасники конкурсу, конкурсна документація яких не відповідає умовам проведення конкурсу, зазначаються в протоколі окремо та їх конкурсні пропозиції не розглядаються.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432ED" w:rsidRPr="007C464D" w:rsidRDefault="00D37A23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Оцінка конкурсних пропозицій здійснюється на відп</w:t>
      </w:r>
      <w:r w:rsidR="00146B6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овідність умовам, встановленим 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рганіз</w:t>
      </w:r>
      <w:r w:rsidR="00146B6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атором конкурсу та за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критеріями бальної системи оцінки пропозицій</w:t>
      </w:r>
      <w:r w:rsidR="00146B6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що наведені в д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одат</w:t>
      </w:r>
      <w:r w:rsidR="00793ED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="00793ED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 </w:t>
      </w:r>
      <w:r w:rsidR="00B66CE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цього </w:t>
      </w:r>
      <w:r w:rsidR="00793ED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Положення.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37A23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="009546D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У разі якщо в конкурсі взяв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участь лише один </w:t>
      </w:r>
      <w:r w:rsidR="00ED62C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учасник конкурсу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документи якого відповідають встановленим вимогам, він може бути визнаний переможцем конкурсу. 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37A23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За результатами обговорення й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оцінки конкурсних пропозицій Комісія на засіданні простою більшістю голосів шляхом відкритого голосування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приймає ріше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ння про переможця конкурсу. У разі рівної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кількост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 голосів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голос головуючого є вирішальним.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37A23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Переможцем конкурсу визнається учасник конкурсу, який у своїй конкурсній пропозиції запропонував найкращі умови реалізації інвестиційного проєкту відповідно до умов конкурсу та визначених критеріїв бальної оцінки, а також виконав умови конкурсу, передбачені цим Положенням.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37A23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За результатами конкурсу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 5-денний с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трок після визначення переможця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D62C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конкурсу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складається та підписується протокол, у якому зазначаються: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склад присутніх членів Комісії;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найменування об’єкта інвестиції;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відомості про учасників конкурсу;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пропозиції учасників конкурсу;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пропозиції присутніх на засіданні членів Комісії щодо визначення переможця конкурсу;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результати голосування за оцінкою конкурсної пропозиції;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обґрунтування визначення переможця конкурсу;</w:t>
      </w:r>
    </w:p>
    <w:p w:rsidR="00F908ED" w:rsidRPr="007C464D" w:rsidRDefault="000A53F6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окрема думка осіб, які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проголосували проти прийнятого рішення (за їх бажанням).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37A23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Після підписання протоколу конкурс вважається таким, що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відбувся. Протокол К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омісії про визначення переможця конкурсу подається Організатору конкурсу. Р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ішення К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омісії вводиться в </w:t>
      </w:r>
      <w:r w:rsidR="00932C8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дію розпорядженням г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олови </w:t>
      </w:r>
      <w:r w:rsidR="004C683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Львівської обласної державної адміністрації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пізніше як за 10 дні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з дня проведення конкурсу, що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розміщується на </w:t>
      </w:r>
      <w:r w:rsidR="00932C8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офіційному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сайті </w:t>
      </w:r>
      <w:r w:rsidR="004C683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Львівської обласної державної адміністрації</w:t>
      </w:r>
      <w:r w:rsidR="00ED62C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Післ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 цього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переможцю конкурсу надсилається повідомлення про намір укласти 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 ним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інвестиційний договір.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37A23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Конкурс може бути оголошений таким, що не відбувся, у разі якщо:</w:t>
      </w:r>
    </w:p>
    <w:p w:rsidR="000A53F6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протягом встановленого строку не надійшл</w:t>
      </w:r>
      <w:r w:rsidR="000A53F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 жодної конкурсної пропозиції;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усі подані конкурсні пропозиції не відповідають умовам конкурсу;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переможець конкурсу відмовився від укладання договору.</w:t>
      </w: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Після підписання Комісією протоколу про визнання конкурсу таким, що не відбувся, приймається рішення про перегляд конкурсних умов і проведення нового конкурсу згідно з умовами його проведення, встановленими цим Положенням.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37A23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Спори, пов’язані з проведенням конкурсу, вирішуються відповідно до вимог чинного законодавства України.</w:t>
      </w:r>
    </w:p>
    <w:p w:rsidR="00DB5A88" w:rsidRPr="007C464D" w:rsidRDefault="00DB5A88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0A53F6">
      <w:pPr>
        <w:pStyle w:val="a9"/>
        <w:tabs>
          <w:tab w:val="left" w:pos="0"/>
        </w:tabs>
        <w:spacing w:after="0" w:line="240" w:lineRule="auto"/>
        <w:ind w:left="0"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en-US" w:eastAsia="ru-RU"/>
        </w:rPr>
        <w:t>VIII</w:t>
      </w:r>
      <w:r w:rsidR="000A53F6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Порядок укладення інвестиційного договору</w:t>
      </w:r>
    </w:p>
    <w:p w:rsidR="00DB5A88" w:rsidRPr="007C464D" w:rsidRDefault="00DB5A88" w:rsidP="00DB5A88">
      <w:pPr>
        <w:pStyle w:val="a9"/>
        <w:tabs>
          <w:tab w:val="left" w:pos="0"/>
        </w:tabs>
        <w:spacing w:after="0" w:line="240" w:lineRule="auto"/>
        <w:ind w:right="-585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1. Проєкт інвестиційного договору розробляється Організатором конкурсу відповідно до законодавства України та умов конкурсу.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 Якщо переможець конкурсу у встановлений 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цим Положенням</w:t>
      </w:r>
      <w:r w:rsidR="00ED62C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термін не надав свої</w:t>
      </w:r>
      <w:r w:rsidR="001C026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х зауважень або пропозицій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 запропонованої Організатором конкурсу редакції інвестиційного договору, договір укладається у редакції Організатора конкурсу. 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 Узгодження сторонами договору всіх умов та тексту остаточної редакції інвестиційного договору відбувається протягом 10 робочих днів після вида</w:t>
      </w:r>
      <w:r w:rsidR="00ED62C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чі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розпорядження </w:t>
      </w:r>
      <w:r w:rsidR="00851E6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голови </w:t>
      </w:r>
      <w:r w:rsidR="004C683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Львівської обласної державної адміністрації</w:t>
      </w:r>
      <w:r w:rsidR="00ED62C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яким вводиться в дію рішення Комісії про 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визначення переможця конкурсу.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4. За результатами проведе</w:t>
      </w:r>
      <w:r w:rsidR="001C026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ння конкурсу, після погодження с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торонами тексту інвестиційного договору, Організатор 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конкурсу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здійснює </w:t>
      </w:r>
      <w:r w:rsidR="001C026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підготовку остаточної редакції д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оговору, який скріплюється підписами уповноважених представників сторін.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B701D" w:rsidP="0086567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5. Після видання</w:t>
      </w:r>
      <w:r w:rsidR="00851E6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розпорядження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голови </w:t>
      </w:r>
      <w:r w:rsidR="004C683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Львівської обласної державної адміністрації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яким вводиться в дію рішення Комісії про визначення переможця конкурсу,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Організатор конкурсу 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укладає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інвестиційн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ий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догов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ір з переможцем конкурсу шляхом його підписання.</w:t>
      </w:r>
    </w:p>
    <w:p w:rsidR="00607FE2" w:rsidRPr="007C464D" w:rsidRDefault="00607FE2" w:rsidP="002432E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F908ED" w:rsidP="002432ED">
      <w:pPr>
        <w:shd w:val="clear" w:color="auto" w:fill="FFFFFF"/>
        <w:tabs>
          <w:tab w:val="left" w:pos="0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6. Переможець конкурсу набуває статус</w:t>
      </w:r>
      <w:r w:rsidR="001C026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інвестора</w:t>
      </w:r>
      <w:r w:rsidR="00851E6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5B713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ператор</w:t>
      </w:r>
      <w:r w:rsidR="00851E6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а)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 моменту підписання ним інвестиційного договору в порядку та на умовах, визначених цим Положенням.</w:t>
      </w:r>
    </w:p>
    <w:p w:rsidR="00DB5A88" w:rsidRPr="007C464D" w:rsidRDefault="00DB5A88" w:rsidP="002432ED">
      <w:pPr>
        <w:shd w:val="clear" w:color="auto" w:fill="FFFFFF"/>
        <w:tabs>
          <w:tab w:val="left" w:pos="0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4E6E9C" w:rsidP="002432ED">
      <w:pPr>
        <w:tabs>
          <w:tab w:val="left" w:pos="0"/>
        </w:tabs>
        <w:spacing w:after="0" w:line="240" w:lineRule="auto"/>
        <w:ind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en-US" w:eastAsia="ru-RU"/>
        </w:rPr>
        <w:t>IX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 Основні вимоги до АСООП</w:t>
      </w:r>
    </w:p>
    <w:p w:rsidR="00DB5A88" w:rsidRPr="007C464D" w:rsidRDefault="00DB5A88" w:rsidP="002432ED">
      <w:pPr>
        <w:tabs>
          <w:tab w:val="left" w:pos="0"/>
        </w:tabs>
        <w:spacing w:after="0" w:line="240" w:lineRule="auto"/>
        <w:ind w:right="-585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908ED" w:rsidRPr="007C464D" w:rsidRDefault="00DB701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86567E" w:rsidRPr="007C464D">
        <w:rPr>
          <w:rFonts w:ascii="Times New Roman" w:eastAsia="Times New Roman" w:hAnsi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повинна відповідати стандартам ро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боти транспортних підприємств –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відкриття і закриття зміни, випуск на маршрут, зміна рейсу, зонування проїзду, централізована зміна тарифів.</w:t>
      </w:r>
    </w:p>
    <w:p w:rsidR="00F908ED" w:rsidRPr="007C464D" w:rsidRDefault="0086567E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мають використовуватись і вра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ховуватись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як готівкова, так і безготівкова форми оплати проїзду. Для безготівкової форми повинні бути 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доступні різні способи оплати: 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лектронний квиток, банківські картки з транспортним додатком, соціальні картки (також на основі безконтактних смарт-карток) і мобільні платежі (NFC).</w:t>
      </w:r>
    </w:p>
    <w:p w:rsidR="00F908ED" w:rsidRPr="007C464D" w:rsidRDefault="0086567E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повинна передбачати дворівневу архітектуру, що забезпечує швидке впровадження, а також просту і недорогу експлуатацію. Дані між терміналами і центральним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сервером повинні передаватися у зашифрованому 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вигляді каналом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стільникового зв’язку (наприклад, GPRS), що забезпечує оперативний обмін інформацією і невисокі експлуатаційні витрати.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 має бути набором програмних, програмно-апаратних засобів та устаткування, які ф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ункціонують у складі комплексу й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об’єднані загальними інформаційними потоками. 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має бути модульною, з модулями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призначеними для отримання і зберігання інформації про продані квитки і соціальні картки, а також модулями взаємодії із зовнішніми системами (придбання квитків, інформаційними системами управляючих організацій, транспортних компаній), персо</w:t>
      </w:r>
      <w:r w:rsidR="00DB701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налізації транспортних карток та інше.</w:t>
      </w:r>
    </w:p>
    <w:p w:rsidR="00607FE2" w:rsidRPr="007C464D" w:rsidRDefault="00607FE2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B701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роцес обслуговування пасажирів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має містити такі етапи:</w:t>
      </w:r>
    </w:p>
    <w:p w:rsidR="001305A1" w:rsidRPr="007C464D" w:rsidRDefault="001305A1" w:rsidP="00546881">
      <w:pPr>
        <w:keepNext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B701D" w:rsidP="00546881">
      <w:pPr>
        <w:keepNext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отримання (придбання) електронного квитка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який є засобом оплати проїзду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громадському транспорті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відбуватиметься через 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ів:</w:t>
      </w:r>
    </w:p>
    <w:p w:rsidR="00F908ED" w:rsidRPr="007C464D" w:rsidRDefault="00F908ED" w:rsidP="0054688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 пунктах поповнення і видачі карток, забезпечених касовими терміналами;</w:t>
      </w:r>
    </w:p>
    <w:p w:rsidR="00F908ED" w:rsidRPr="007C464D" w:rsidRDefault="00F908ED" w:rsidP="00546881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 пунктах віддаленого поповнення, укомплекто</w:t>
      </w:r>
      <w:r w:rsidR="008F1F9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ваних спеціальним устаткуванням;</w:t>
      </w:r>
    </w:p>
    <w:p w:rsidR="001305A1" w:rsidRPr="007C464D" w:rsidRDefault="001305A1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DB701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54688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родовження і поповнення придбаних раніше засобів оплати про</w:t>
      </w:r>
      <w:r w:rsidR="002021E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водиться як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пунктах продажу, так і через пристрої самообслуговування – банківські термінали і термінали оплати, які можуть працювати з безконтактними картками.</w:t>
      </w:r>
    </w:p>
    <w:p w:rsidR="0086567E" w:rsidRPr="007C464D" w:rsidRDefault="0086567E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B6231B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3. Інвестор (</w:t>
      </w:r>
      <w:r w:rsidR="001B7A5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ператор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2021E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повинен забезпечити роботу мінімум 50 точок продажу електронних квиткі</w:t>
      </w:r>
      <w:r w:rsidR="002021E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у розрахунку 1 точка продажу в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межах кінцевих станцій (автостанцій) у населених пунктах з населенням більше 5 тис. осіб.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 повинна забезпечувати їх належне функціонування відповідно до за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значених у цьому розділі вимог.</w:t>
      </w:r>
    </w:p>
    <w:p w:rsidR="00607FE2" w:rsidRPr="007C464D" w:rsidRDefault="00607FE2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B6231B" w:rsidP="00546881">
      <w:pPr>
        <w:keepNext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4.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Фіксація факту оплати проїзду</w:t>
      </w:r>
      <w:r w:rsidR="002021E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має відбуватись через транспортні </w:t>
      </w:r>
      <w:proofErr w:type="spellStart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валідатори</w:t>
      </w:r>
      <w:proofErr w:type="spellEnd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які мають знаходитися в салоні транспортних засобів. </w:t>
      </w:r>
    </w:p>
    <w:p w:rsidR="00607FE2" w:rsidRPr="007C464D" w:rsidRDefault="00607FE2" w:rsidP="00546881">
      <w:pPr>
        <w:keepNext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B6231B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5.</w:t>
      </w:r>
      <w:r w:rsidR="002021E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F70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складається з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1305A1" w:rsidRPr="007C464D" w:rsidRDefault="001305A1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9C24FA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1) 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термінального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устаткування:</w:t>
      </w:r>
    </w:p>
    <w:p w:rsidR="00F908ED" w:rsidRPr="007C464D" w:rsidRDefault="00F908ED" w:rsidP="00546881">
      <w:pPr>
        <w:tabs>
          <w:tab w:val="left" w:pos="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касові термінали – для продажу, поповнення і продовження терміну дії транспортних карток. Встановлюються в пунктах продажу/поповнення транспортних карток;</w:t>
      </w:r>
    </w:p>
    <w:p w:rsidR="00F908ED" w:rsidRPr="007C464D" w:rsidRDefault="00F908ED" w:rsidP="00546881">
      <w:pPr>
        <w:tabs>
          <w:tab w:val="left" w:pos="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валідатори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 для реєстрації оплати проїзду. Встановлюється безпосередньо в транспорті або видається кондукторам;</w:t>
      </w:r>
    </w:p>
    <w:p w:rsidR="001305A1" w:rsidRPr="007C464D" w:rsidRDefault="001305A1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9C24FA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2)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кому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нікаційного модуля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обміну даними між термінальними пристроями і сервером обробки транзакцій, між термінальними пристроями і системою управління терміналами;</w:t>
      </w:r>
    </w:p>
    <w:p w:rsidR="001305A1" w:rsidRPr="007C464D" w:rsidRDefault="001305A1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9C24FA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3)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центр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обробки даних;</w:t>
      </w:r>
    </w:p>
    <w:p w:rsidR="001305A1" w:rsidRPr="007C464D" w:rsidRDefault="001305A1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9C24FA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4) 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системи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управління терміналами;</w:t>
      </w:r>
    </w:p>
    <w:p w:rsidR="001305A1" w:rsidRPr="007C464D" w:rsidRDefault="001305A1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9C24FA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5) 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системи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персоналізації карток;</w:t>
      </w:r>
    </w:p>
    <w:p w:rsidR="001305A1" w:rsidRPr="007C464D" w:rsidRDefault="001305A1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9C24FA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6) 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квиткового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сервер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607FE2" w:rsidRPr="007C464D" w:rsidRDefault="00607FE2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86567E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BC6B0F"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3CF9" w:rsidRPr="007C464D">
        <w:rPr>
          <w:rFonts w:ascii="Times New Roman" w:eastAsia="Times New Roman" w:hAnsi="Times New Roman"/>
          <w:sz w:val="28"/>
          <w:szCs w:val="28"/>
          <w:lang w:eastAsia="ru-RU"/>
        </w:rPr>
        <w:t xml:space="preserve">Термінальне </w:t>
      </w:r>
      <w:r w:rsidR="00C53CF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устаткування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повинне забезпечувати продаж, поповне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ння та продовження терміну дії 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лектронних квитків, реєстрацію проїзду пасажирів, а т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акож перевірку оплати проїзду за 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лектронним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квиткам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банківським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карткам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У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повинно передбачатися використання як мобільних, так і стаціонарних терміналів. За функціоналом термінали повинні поділятися на: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касові термінали – призначені для виконання операцій продажу, поповн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ення і продовження терміну дії е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лектронних квитків;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транспортні термінали (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валідатори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 – призначені для реєстрації проїзду по </w:t>
      </w:r>
      <w:r w:rsidR="0086567E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лектронним квиткам, банківським карткам і операцій продажу квитків за готівковий розрахунок. Факт проведення готівкових операцій фіксується друком паперового квитка;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торгівельні термінали – призначені для виконання операцій оплати послуг.</w:t>
      </w:r>
    </w:p>
    <w:p w:rsidR="00F908ED" w:rsidRPr="007C464D" w:rsidRDefault="00F908ED" w:rsidP="001E7E0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Незалежно від типу терміналу, також необхідні функції локальної підготовки і завантаження в термінал параметрів, отриманих 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із сервера та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 системи управління терміналами та підтримки роботи устаткування, як вбудо</w:t>
      </w:r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ваним, так і зовнішнім </w:t>
      </w:r>
      <w:proofErr w:type="spellStart"/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рідером</w:t>
      </w:r>
      <w:proofErr w:type="spellEnd"/>
      <w:r w:rsidR="00BC6B0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е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лектронних квитків, банківських карток, а також о</w:t>
      </w:r>
      <w:r w:rsidR="00FE457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перації друку відривного квитка та спільна робота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 </w:t>
      </w:r>
      <w:r w:rsidR="001E7E0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Центром обробки даних (далі –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ЦОД</w:t>
      </w:r>
      <w:r w:rsidR="001E7E0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908ED" w:rsidRPr="007C464D" w:rsidRDefault="00F908ED" w:rsidP="00546881">
      <w:pPr>
        <w:tabs>
          <w:tab w:val="left" w:pos="0"/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Термінал повинен являти собою конструктивний закінчений блок, що містить у своєму складі модуль управління, елементи і</w:t>
      </w:r>
      <w:r w:rsidR="000D094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ндикації, вузол читання/запису е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лектронних квитків,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опціонально</w:t>
      </w:r>
      <w:proofErr w:type="spellEnd"/>
      <w:r w:rsidR="000D094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термопринтер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для друку документів (квитків/звітів), індикатор для видачі повідомлень, а також засоби комунікації для підключення інших пристроїв, мати можливість зчитування безконтактних банківських карток на апаратному рівні.</w:t>
      </w:r>
    </w:p>
    <w:p w:rsidR="00F908ED" w:rsidRPr="007C464D" w:rsidRDefault="00F908ED" w:rsidP="00546881">
      <w:pPr>
        <w:keepNext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Доступ до операцій на терміналах має бути можливий лише при пред’явленні спеціальної картки, причому для різних операцій мають бути передбачені різні типи карток.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Кожна операція на терміналі супроводжується формуванням транзакції. Всі транзакції записуються в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транзакційний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файл, який підписується і шифрується на ключах системи і після закінчення зміни передається в ЦОД.</w:t>
      </w:r>
    </w:p>
    <w:p w:rsidR="00F908ED" w:rsidRPr="007C464D" w:rsidRDefault="00F908ED" w:rsidP="00546881">
      <w:pPr>
        <w:tabs>
          <w:tab w:val="left" w:pos="0"/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5" w:name="bookmark=id.1ksv4uv"/>
      <w:bookmarkStart w:id="6" w:name="_heading=h.44sinio"/>
      <w:bookmarkEnd w:id="5"/>
      <w:bookmarkEnd w:id="6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Термінали безконтактних карток повинні забезпечувати: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віддалене поповнення балансу картки; </w:t>
      </w:r>
    </w:p>
    <w:p w:rsidR="00F908ED" w:rsidRPr="007C464D" w:rsidRDefault="00BE7DB4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зчитування і запис даних на 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лектронні квитки типу CIPURSE та MIFARE або еквівалент, а також пристрої, які підтримують NFC-технологію;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можливість класифікації типів оплати </w:t>
      </w:r>
      <w:r w:rsidR="00BE7D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(готівка, пільговий, службовий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тощо);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відображення на екрані інформації;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друк паперового документа (ширина </w:t>
      </w:r>
      <w:r w:rsidR="00BE7D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–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 60 мм, швидкість друку </w:t>
      </w:r>
      <w:r w:rsidR="00BE7D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 від 80 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мм/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сек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.) з можливістю друку графічного зображення – логотипу, друк звітів з</w:t>
      </w:r>
      <w:r w:rsidR="00BE7D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штрих-кодами (для ручного терміналу);</w:t>
      </w:r>
    </w:p>
    <w:p w:rsidR="00F908ED" w:rsidRPr="007C464D" w:rsidRDefault="00BE7DB4" w:rsidP="001E7E0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передачу пакетних даних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E7E0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центральній базі даних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 допомогою стільникового зв’язку (наприклад, GPRS);</w:t>
      </w:r>
    </w:p>
    <w:p w:rsidR="00F908ED" w:rsidRPr="007C464D" w:rsidRDefault="008F1F98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збереження інформації;</w:t>
      </w:r>
    </w:p>
    <w:p w:rsidR="00F908ED" w:rsidRPr="007C464D" w:rsidRDefault="00BE7DB4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застосування апаратного криптографічного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процесор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 обробці даних.</w:t>
      </w:r>
    </w:p>
    <w:p w:rsidR="00F908ED" w:rsidRPr="007C464D" w:rsidRDefault="00F908ED" w:rsidP="00546881">
      <w:pPr>
        <w:keepNext/>
        <w:keepLines/>
        <w:tabs>
          <w:tab w:val="left" w:pos="0"/>
          <w:tab w:val="left" w:pos="708"/>
        </w:tabs>
        <w:spacing w:after="0" w:line="240" w:lineRule="auto"/>
        <w:ind w:firstLine="567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7" w:name="bookmark=id.2jxsxqh"/>
      <w:bookmarkStart w:id="8" w:name="_heading=h.z337ya"/>
      <w:bookmarkEnd w:id="7"/>
      <w:bookmarkEnd w:id="8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Транспортні термінали повинні працювати у таких режимах: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режим обліку т</w:t>
      </w:r>
      <w:r w:rsidR="00BE7D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а/або оплати/фіксації проїзду за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типам</w:t>
      </w:r>
      <w:r w:rsidR="00BE7D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ами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згідно </w:t>
      </w:r>
      <w:r w:rsidR="00BE7DB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 класифікацією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 основний режим;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режим внесення змін у транспортний модуль картки (поповнення, блокування);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режим відкриття та закриття змін картками </w:t>
      </w:r>
      <w:r w:rsidR="00D37A23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оператор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 та адміністратора;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режим внесення та вилучення готівки (ручний термінал);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режим занесення даних про маршрут та транспортний засіб;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режим діагностики.</w:t>
      </w:r>
    </w:p>
    <w:p w:rsidR="00B6231B" w:rsidRPr="007C464D" w:rsidRDefault="00F908ED" w:rsidP="00546881">
      <w:pPr>
        <w:keepNext/>
        <w:keepLines/>
        <w:tabs>
          <w:tab w:val="left" w:pos="0"/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9" w:name="bookmark=id.3j2qqm3"/>
      <w:bookmarkStart w:id="10" w:name="_heading=h.1y810tw"/>
      <w:bookmarkEnd w:id="9"/>
      <w:bookmarkEnd w:id="10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Ум</w:t>
      </w:r>
      <w:r w:rsidR="00B6231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ови експлуатації терміналів:</w:t>
      </w:r>
    </w:p>
    <w:p w:rsidR="00F908ED" w:rsidRPr="007C464D" w:rsidRDefault="00B6231B" w:rsidP="00546881">
      <w:pPr>
        <w:keepNext/>
        <w:keepLines/>
        <w:tabs>
          <w:tab w:val="left" w:pos="0"/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емпературний режим роботи</w:t>
      </w:r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від -20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vertAlign w:val="superscript"/>
          <w:lang w:eastAsia="ru-RU"/>
        </w:rPr>
        <w:t>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 до +50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vertAlign w:val="superscript"/>
          <w:lang w:eastAsia="ru-RU"/>
        </w:rPr>
        <w:t>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С, верхнє значення відносної вологості повітря </w:t>
      </w:r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–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95% при температурі 35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vertAlign w:val="superscript"/>
          <w:lang w:eastAsia="ru-RU"/>
        </w:rPr>
        <w:t>о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С. Живлення транспортного терміналу (</w:t>
      </w:r>
      <w:proofErr w:type="spellStart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валідатора</w:t>
      </w:r>
      <w:proofErr w:type="spellEnd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в межах параметрів бортової мережі ТЗ.</w:t>
      </w:r>
    </w:p>
    <w:p w:rsidR="00F908ED" w:rsidRPr="007C464D" w:rsidRDefault="00F908ED" w:rsidP="00546881">
      <w:pPr>
        <w:keepNext/>
        <w:keepLines/>
        <w:tabs>
          <w:tab w:val="left" w:pos="0"/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11" w:name="bookmark=id.1ci93xb"/>
      <w:bookmarkStart w:id="12" w:name="bookmark=id.4i7ojhp"/>
      <w:bookmarkStart w:id="13" w:name="_heading=h.2xcytpi"/>
      <w:bookmarkEnd w:id="11"/>
      <w:bookmarkEnd w:id="12"/>
      <w:bookmarkEnd w:id="13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Транспортний термінал (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валідатор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безконтактних карток повинен мати: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приймання оплати з безконтактних банківських карток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Visa</w:t>
      </w:r>
      <w:proofErr w:type="spellEnd"/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 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PayWave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MasterCard</w:t>
      </w:r>
      <w:proofErr w:type="spellEnd"/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 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PayPass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можливість забезпечувати роботу пристрою не менше 12 год</w:t>
      </w:r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протягом дня;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ручн</w:t>
      </w:r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ого терміналу: друк не менше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1200 документів від комплекту елементів живлення, масу з батареєю, що не перевищує</w:t>
      </w:r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600 г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цифро-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буквен</w:t>
      </w:r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клавіатуру, </w:t>
      </w:r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настільний зарядний пристрій 12 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зручний корпус і зрозумілі елементи введення;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мати екран високої контрастності;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мати зчитувачі SAM від 2 до 4 зчитувачів;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бути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антивандальним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(витримувати падіння з висоти до 1,5 м) з чохлом для носіння.</w:t>
      </w:r>
    </w:p>
    <w:p w:rsidR="00607FE2" w:rsidRPr="007C464D" w:rsidRDefault="00607FE2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86567E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7. </w:t>
      </w:r>
      <w:r w:rsidR="004F115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Комунікаційний модуль призначений для забезпечення обміну даними термінальними прис</w:t>
      </w:r>
      <w:r w:rsidR="001E7E01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троями з ЦОД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 системою управління терміналами. В процесі обміну з ЦОД з терміналів повинні п</w:t>
      </w:r>
      <w:r w:rsidR="005D449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ередаватися транзакції продажу й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обслуговування транспортних карток, на термінали </w:t>
      </w:r>
      <w:r w:rsidR="005D449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мають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передаватися і </w:t>
      </w:r>
      <w:r w:rsidR="0006018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завантажуватися «гарячі списки»,</w:t>
      </w:r>
      <w:r w:rsidR="005D449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зокрема «стоп-списки» (заборонені </w:t>
      </w:r>
      <w:r w:rsidR="005D449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транспортні картки і термінали). Із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системи управління терміналами повинні передаватися і завантажуватися файли конфігурації, що містять: форми відривних квитків, параметри тарифів транспортних карток, зміни тарифів і дати їх впровадж</w:t>
      </w:r>
      <w:r w:rsidR="0006018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ення, зонування маршрутів тощо. К</w:t>
      </w:r>
      <w:r w:rsidR="005D449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рім перерахованих даних,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процесі взаємодії також має проводитись обмін службовою інформацією.</w:t>
      </w:r>
    </w:p>
    <w:p w:rsidR="00607FE2" w:rsidRPr="007C464D" w:rsidRDefault="00607FE2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</w:p>
    <w:p w:rsidR="00A5126D" w:rsidRPr="007C464D" w:rsidRDefault="0086567E" w:rsidP="0086567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="00B6279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5D4495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F70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має передбачати можливість </w:t>
      </w:r>
      <w:proofErr w:type="spellStart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імплементувати</w:t>
      </w:r>
      <w:proofErr w:type="spellEnd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«квиткові рішення», які дозволяють задовольнити </w:t>
      </w:r>
      <w:r w:rsidR="00060184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такі </w:t>
      </w:r>
      <w:r w:rsidR="00A51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потреби:</w:t>
      </w:r>
    </w:p>
    <w:p w:rsidR="008834F9" w:rsidRPr="007C464D" w:rsidRDefault="008834F9" w:rsidP="00A51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5126D" w:rsidRPr="007C464D" w:rsidRDefault="00A5126D" w:rsidP="00A51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1) ф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іксована разова поїздка:</w:t>
      </w:r>
    </w:p>
    <w:p w:rsidR="00F908ED" w:rsidRPr="007C464D" w:rsidRDefault="00F908ED" w:rsidP="00A51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дає право</w:t>
      </w:r>
      <w:r w:rsidR="00A51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здійснення однієї поїздки в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громадському транспорті;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може бути оплачена за допомогою готівки/електронного гаманця (може бути записаний на транспортній картці, банківській картці з транспортним додатком або мобільному телефоні </w:t>
      </w:r>
      <w:r w:rsidR="00A51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 підтримкою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NFC)</w:t>
      </w:r>
      <w:r w:rsidR="00A51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/</w:t>
      </w:r>
      <w:r w:rsidR="00A51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соціальної (пільг</w:t>
      </w:r>
      <w:r w:rsidR="00A51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ової) картки/банківської картки;</w:t>
      </w:r>
    </w:p>
    <w:p w:rsidR="008834F9" w:rsidRPr="007C464D" w:rsidRDefault="008834F9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A5126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2) 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роїзний на певну кількість поїздок з обмеженням часу дії</w:t>
      </w:r>
      <w:r w:rsidR="00C53CF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дає право на здійснення певної кількості поїздок без пересадок в обмежений період часу;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кожного разу при здійсненні поїздки пасажир зобов’язаний прикласти платіжний засіб до терміналу (при цьому буде списана одна поїздка);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може бути записаний на транспортній картці/банківській картці з транспортним додатком/мобільному телефоні </w:t>
      </w:r>
      <w:r w:rsidR="00A51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 підтримкою NFC;</w:t>
      </w:r>
    </w:p>
    <w:p w:rsidR="008834F9" w:rsidRPr="007C464D" w:rsidRDefault="008834F9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A5126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3) 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роїзний на певний час без обмеження кількості поїздок</w:t>
      </w:r>
      <w:r w:rsidR="00C53CF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дає право на здійснення необмежено</w:t>
      </w:r>
      <w:r w:rsidR="00A5126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 числа поїздок без пересадок 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певний період часу;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кожного разу при здійсненні поїздки пасажир зобов’язаний прикласти платіжний засіб до терміналу (при цьому буде списана одна поїздка);</w:t>
      </w:r>
    </w:p>
    <w:p w:rsidR="00F908ED" w:rsidRPr="007C464D" w:rsidRDefault="00A5126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може бути записаний на 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лектронному квитку/банківській картці з транспортним додатком/мобільному телефоні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 підтримкою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NFC.</w:t>
      </w:r>
    </w:p>
    <w:p w:rsidR="00607FE2" w:rsidRPr="007C464D" w:rsidRDefault="00607FE2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86567E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C53CF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244AEB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Центр обробки даних/транзакцій має бути автоматизованою системою, призначеною для збору, зберігання, аналітичної обробки (у вигляді звітів) інформації про оплату і реєстрацію проїзду пасажирів громадського транспорту. Первинні дані про операції, пов’язані з оплатою і реєстрацією проїзду пасажирів</w:t>
      </w:r>
      <w:r w:rsidR="007D216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мають надходити в ЦОД з термінальних п</w:t>
      </w:r>
      <w:r w:rsidR="007D2162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ристроїв. Дані мають надходити у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зашифрованому вигляді, далі захист даних від несанкціонованого доступу повинен забезпечуватися системними засобами. ЦОД п</w:t>
      </w:r>
      <w:r w:rsidR="0056048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овинен забезпечувати виконання таких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функцій: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адміністрування програмного забезпечення з метою розмежування прав доступу користувачів, налаштування поточної конфігурації модуля;</w:t>
      </w:r>
    </w:p>
    <w:p w:rsidR="00F908ED" w:rsidRPr="007C464D" w:rsidRDefault="007D2162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завантаження й обробка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файлів з вихідними даними;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перегляд інформації про помилки в </w:t>
      </w:r>
      <w:r w:rsidR="00B20DB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які виникають при завантаженні файлів;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перегляд журналу транзакцій, які зберігаються в базі даних;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перегляд і коригування інформації про транспортні, персональні і службові картки;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формування звітів за допомогою запитів будь-якої складності, написаних на мові SQL, перегляд звітів;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перегляд і коригування пільг і їх груп;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виконання завдань за заданим порядком.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Набір звітів призначений для надання користувачам (перевізникам та </w:t>
      </w:r>
      <w:r w:rsidR="00090A7C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рганізатору перевезень) </w:t>
      </w:r>
      <w:r w:rsidR="00B20DB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АСООП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інформації про обслуговування пасажирів, операцій продажу, поповнення і продовження строку дії проїзних документів, кі</w:t>
      </w:r>
      <w:r w:rsidR="0069481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лькість перевезених пасажирів за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маршрутам</w:t>
      </w:r>
      <w:r w:rsidR="0069481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залишки коштів на картках, перевезення п</w:t>
      </w:r>
      <w:r w:rsidR="00C53CF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асажирів пільгових категорій тощо.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Управління даними ЦОД має здійснюватис</w:t>
      </w:r>
      <w:r w:rsidR="008834F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через АРМ, що повинен містити модулі, за допомогою яких виконуються різні функції. Доступ до функцій модулів визначається рівнем допуску користувача.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Основні функції АРМ: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розмежування прав доступу користувачів і забезпечення необхідного рівня інформаційної безпеки;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налаштування підключення до сторонніх систем;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перегляд і редагування інформації про перевізника;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завантаження конфігурації і файлів, редагування налаштувань файлу;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додавання</w:t>
      </w:r>
      <w:r w:rsidR="00EB070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 редагування терміналів і </w:t>
      </w:r>
      <w:proofErr w:type="spellStart"/>
      <w:r w:rsidR="00EB070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веб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служб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апаратного модуля безпеки;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перегляд запитів і подій, що відбуваються під час роботи, транзакцій, що проводяться на терміналах, інформації про тарифи </w:t>
      </w:r>
      <w:r w:rsidR="0069481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 знижки, блокувальних списків е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лектронних квитків;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вивантаження даних;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налаштування і вивантаження звітів;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налаштування виконання завдань за розкладом;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редагування шаблонів друкованих відривних квитків.</w:t>
      </w:r>
    </w:p>
    <w:p w:rsidR="00607FE2" w:rsidRPr="007C464D" w:rsidRDefault="00607FE2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B862E8" w:rsidRPr="007C464D" w:rsidRDefault="00B20DBA" w:rsidP="00B862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C53CF9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3107A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Система управління терміналами має бути програмним модулем, призначеним для оперативного управління і контролю над прикладним програмним забезпеченням. Модуль повинен автоматизувати процес підготовки і передачі налаштувань програм</w:t>
      </w:r>
      <w:r w:rsidR="00444E0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ного забезпечення в термінали стільниковим зв’язком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(наприклад</w:t>
      </w:r>
      <w:r w:rsidR="00444E0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GPRS). Моду</w:t>
      </w:r>
      <w:r w:rsidR="0056048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ль має забезпечувати виконання таких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функцій:</w:t>
      </w:r>
    </w:p>
    <w:p w:rsidR="00B862E8" w:rsidRPr="007C464D" w:rsidRDefault="00F908ED" w:rsidP="00B862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підготовку і завант</w:t>
      </w:r>
      <w:r w:rsidR="00B862E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аження параметрів конфігурацій 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термінальне обладнання;</w:t>
      </w:r>
    </w:p>
    <w:p w:rsidR="00F908ED" w:rsidRPr="007C464D" w:rsidRDefault="00F908ED" w:rsidP="00B862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завантаження файлів пр</w:t>
      </w:r>
      <w:r w:rsidR="00B862E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ограмного забезпечення у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термінальне </w:t>
      </w:r>
      <w:r w:rsidR="00B862E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обладнання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DB5A88" w:rsidRPr="007C464D" w:rsidRDefault="00F908ED" w:rsidP="00B862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розмежування прав доступу користувачів і забезпечення необхідного рівня інформаційної безпеки.</w:t>
      </w:r>
    </w:p>
    <w:p w:rsidR="00607FE2" w:rsidRPr="007C464D" w:rsidRDefault="00607FE2" w:rsidP="00B862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B20DBA" w:rsidP="00B20DB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10</w:t>
      </w:r>
      <w:r w:rsidR="0056048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B862E8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Готові до реалізації 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лектронні квитки (транспортні картки) мають надходити на пункти продажу із захищеного виробництва. Вони мають бути захищені так само, як і картки, що знаходяться в обігу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 не мають вимагати проведення додаткових попередніх операцій з боку співробітників транспортних підприємств. Одночасно з картками в ЦОД 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із сертифікованого з безпеки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виробництва мають імпортуватись «паспорти», виготовлені і розмічені 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цієї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системи картки – файли, в яких </w:t>
      </w:r>
      <w:proofErr w:type="spellStart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співставляються</w:t>
      </w:r>
      <w:proofErr w:type="spellEnd"/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унікальні системні номери картки і їх унікальні ідентифікаційні номери.</w:t>
      </w:r>
    </w:p>
    <w:p w:rsidR="004679CF" w:rsidRPr="007C464D" w:rsidRDefault="00F908ED" w:rsidP="004679CF">
      <w:pPr>
        <w:keepNext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 системі безпеки мають використовуватися різні </w:t>
      </w: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«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гарячі списки», зокрема:</w:t>
      </w:r>
    </w:p>
    <w:p w:rsidR="004679CF" w:rsidRPr="007C464D" w:rsidRDefault="00F908ED" w:rsidP="004679CF">
      <w:pPr>
        <w:keepNext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«чорний список» транспортних карток;</w:t>
      </w:r>
    </w:p>
    <w:p w:rsidR="004679CF" w:rsidRPr="007C464D" w:rsidRDefault="00F908ED" w:rsidP="004679CF">
      <w:pPr>
        <w:keepNext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«чорний список» банківських карток;</w:t>
      </w:r>
    </w:p>
    <w:p w:rsidR="00F908ED" w:rsidRPr="007C464D" w:rsidRDefault="00F908ED" w:rsidP="004679CF">
      <w:pPr>
        <w:keepNext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«чорний список» терміналів.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Вони мають дозволяти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оперативно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блокувати використання скомпрометованих елементів </w:t>
      </w:r>
      <w:r w:rsidR="00B20DB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АСООП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607FE2" w:rsidRPr="007C464D" w:rsidRDefault="00607FE2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908ED" w:rsidRPr="007C464D" w:rsidRDefault="00B20DBA" w:rsidP="004679CF">
      <w:pPr>
        <w:keepNext/>
        <w:keepLines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11</w:t>
      </w:r>
      <w:r w:rsidR="00EB070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Квитковий сервер</w:t>
      </w:r>
      <w:r w:rsidR="004679CF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–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це</w:t>
      </w:r>
      <w:r w:rsidR="004679CF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рограмний комплекс, що підключається до АСООП, має формувати 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поповнення е</w:t>
      </w:r>
      <w:r w:rsidR="00EB070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лектронних квитків та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інформацію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 них при взаємодії з пристроєм самообслуговування під час операцій з картами, які містять транспортний додаток.</w:t>
      </w:r>
    </w:p>
    <w:p w:rsidR="004679CF" w:rsidRPr="007C464D" w:rsidRDefault="00F908ED" w:rsidP="004679C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Комплекс складаєть</w:t>
      </w:r>
      <w:bookmarkStart w:id="14" w:name="_GoBack"/>
      <w:bookmarkEnd w:id="14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ся з двох компонентів:</w:t>
      </w:r>
    </w:p>
    <w:p w:rsidR="00F908ED" w:rsidRPr="007C464D" w:rsidRDefault="00F908ED" w:rsidP="004679C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модуль взаємодії із зовнішніми системами;</w:t>
      </w:r>
    </w:p>
    <w:p w:rsidR="00F908ED" w:rsidRPr="007C464D" w:rsidRDefault="00F908ED" w:rsidP="004679C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автоматизоване робоче місце (АРМ) – </w:t>
      </w:r>
      <w:proofErr w:type="spellStart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інтерфейсна</w:t>
      </w:r>
      <w:proofErr w:type="spellEnd"/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частина комплексу, призначена для управління даними.</w:t>
      </w:r>
    </w:p>
    <w:p w:rsidR="00F908ED" w:rsidRPr="007C464D" w:rsidRDefault="00F908ED" w:rsidP="004679C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Взаємодія із зовнішніми системами повинна забезпечуватися відповідн</w:t>
      </w:r>
      <w:r w:rsidR="00EB0706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 до розроблених протоколів 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згідно з регламентом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інформаційної взаємодії. Взаємодія із зовнішніми си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стемами повинна здійснюватися за захищеним протоколом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 шифруванням. В якості зовнішніх систем можуть бути: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системи масових платежів банків, пристрої самообслуговування і термінали оплати;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поповнення карток через </w:t>
      </w:r>
      <w:r w:rsidR="004679CF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мережу І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нтернет.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Модуль взаємодії із зовнішніми системами є серверною частиною програмного комплексу. Основні функції модуля взаємодії:</w:t>
      </w:r>
    </w:p>
    <w:p w:rsidR="00F908ED" w:rsidRPr="007C464D" w:rsidRDefault="004679CF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забезпечення операцій з 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лектронними квитками, проїзними документами на картках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 транспортним додатком: операції купівлі, </w:t>
      </w: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продовження дії або поповнення 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лектронних квитків, які здійснюються через пристрої самообслуговування або пункти віддаленого поповнення;</w:t>
      </w:r>
    </w:p>
    <w:p w:rsidR="00F908ED" w:rsidRPr="007C464D" w:rsidRDefault="00F908ED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забезпечення операцій з електронними проїзними документами на мобільних пристроях, які підтримують NFC-технологію;</w:t>
      </w:r>
    </w:p>
    <w:p w:rsidR="00F908ED" w:rsidRPr="007C464D" w:rsidRDefault="004679CF" w:rsidP="005468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інформування клієнта-власника е</w:t>
      </w:r>
      <w:r w:rsidR="00F908ED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лектронного квитка про стан електронного проїзного документа на його картці.</w:t>
      </w:r>
    </w:p>
    <w:p w:rsidR="00F908ED" w:rsidRPr="007C464D" w:rsidRDefault="00F908ED" w:rsidP="002432ED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908ED" w:rsidRPr="007C464D" w:rsidRDefault="00F908ED" w:rsidP="002432E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Начальник</w:t>
      </w:r>
      <w:r w:rsidR="00FE5F01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управління</w:t>
      </w:r>
      <w:r w:rsidR="00FE5F01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транспорту</w:t>
      </w:r>
    </w:p>
    <w:p w:rsidR="004C6835" w:rsidRPr="007C464D" w:rsidRDefault="00F908ED" w:rsidP="002432E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та зв’язку </w:t>
      </w:r>
      <w:r w:rsidR="004C6835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Львівської </w:t>
      </w: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обл</w:t>
      </w:r>
      <w:r w:rsidR="004C6835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асної</w:t>
      </w:r>
    </w:p>
    <w:p w:rsidR="002A7005" w:rsidRPr="007C464D" w:rsidRDefault="002432ED" w:rsidP="006C4A0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sectPr w:rsidR="002A7005" w:rsidRPr="007C464D" w:rsidSect="00E75975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державної адміністрації</w:t>
      </w: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  <w:r w:rsidR="004C6835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  <w:r w:rsidR="004C6835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  <w:t xml:space="preserve">Степан </w:t>
      </w:r>
      <w:r w:rsidR="00F908ED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РУДНИЦЬКИЙ</w:t>
      </w:r>
      <w:r w:rsidR="00FE5F01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br w:type="page"/>
      </w:r>
    </w:p>
    <w:p w:rsidR="00C8782A" w:rsidRPr="007C464D" w:rsidRDefault="007F77C7" w:rsidP="002A7005">
      <w:pPr>
        <w:spacing w:after="0" w:line="276" w:lineRule="auto"/>
        <w:ind w:left="524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Додаток </w:t>
      </w:r>
    </w:p>
    <w:p w:rsidR="003363EA" w:rsidRPr="007C464D" w:rsidRDefault="00C8782A" w:rsidP="003363EA">
      <w:pPr>
        <w:spacing w:after="0" w:line="276" w:lineRule="auto"/>
        <w:ind w:left="524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 П</w:t>
      </w:r>
      <w:r w:rsidR="003363E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оложення про умови проведення конкурсу з відбору інвестора (оператора)</w:t>
      </w:r>
    </w:p>
    <w:p w:rsidR="003363EA" w:rsidRPr="007C464D" w:rsidRDefault="003363EA" w:rsidP="003363EA">
      <w:pPr>
        <w:spacing w:after="0" w:line="276" w:lineRule="auto"/>
        <w:ind w:left="524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впровадження автоматизованої системи обліку оплати проїзду</w:t>
      </w:r>
    </w:p>
    <w:p w:rsidR="003363EA" w:rsidRPr="007C464D" w:rsidRDefault="003363EA" w:rsidP="003363EA">
      <w:pPr>
        <w:spacing w:after="0" w:line="276" w:lineRule="auto"/>
        <w:ind w:left="524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 приміських та міжміських автобусних маршрутах загального</w:t>
      </w:r>
    </w:p>
    <w:p w:rsidR="003363EA" w:rsidRPr="007C464D" w:rsidRDefault="003363EA" w:rsidP="003363EA">
      <w:pPr>
        <w:spacing w:after="0" w:line="276" w:lineRule="auto"/>
        <w:ind w:left="524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користування Львівської області незалежно від форми власності</w:t>
      </w:r>
    </w:p>
    <w:p w:rsidR="002432ED" w:rsidRPr="007C464D" w:rsidRDefault="003363EA" w:rsidP="00533AD8">
      <w:pPr>
        <w:spacing w:after="0" w:line="276" w:lineRule="auto"/>
        <w:ind w:left="5245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(</w:t>
      </w:r>
      <w:r w:rsidR="008B29C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пункт 2 розділу </w:t>
      </w:r>
      <w:proofErr w:type="spellStart"/>
      <w:r w:rsidR="008B29C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ⅤΙΙ</w:t>
      </w:r>
      <w:proofErr w:type="spellEnd"/>
      <w:r w:rsidR="008B29CA" w:rsidRPr="007C46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</w:p>
    <w:p w:rsidR="00533AD8" w:rsidRPr="007C464D" w:rsidRDefault="00533AD8" w:rsidP="002432ED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AD7A02" w:rsidRPr="007C464D" w:rsidRDefault="00AD7A02" w:rsidP="002432ED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Оцінка конкурсних пропозицій на відповідність умовам,</w:t>
      </w:r>
    </w:p>
    <w:p w:rsidR="002432ED" w:rsidRPr="007C464D" w:rsidRDefault="002432ED" w:rsidP="002432ED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встановлен</w:t>
      </w:r>
      <w:r w:rsidR="00AD7A02" w:rsidRPr="007C464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им Організатором конкурсу</w:t>
      </w:r>
    </w:p>
    <w:p w:rsidR="00533AD8" w:rsidRPr="007C464D" w:rsidRDefault="00533AD8" w:rsidP="002432ED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524" w:type="dxa"/>
        <w:tblInd w:w="11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555"/>
        <w:gridCol w:w="2127"/>
        <w:gridCol w:w="1842"/>
      </w:tblGrid>
      <w:tr w:rsidR="008C5C0C" w:rsidRPr="007C464D" w:rsidTr="009151C5">
        <w:trPr>
          <w:trHeight w:val="187"/>
        </w:trPr>
        <w:tc>
          <w:tcPr>
            <w:tcW w:w="5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Критерій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AD7A02">
            <w:pPr>
              <w:tabs>
                <w:tab w:val="left" w:pos="0"/>
              </w:tabs>
              <w:spacing w:after="0" w:line="240" w:lineRule="auto"/>
              <w:ind w:right="41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Одиниця виміру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ind w:hanging="58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Максимально балів</w:t>
            </w:r>
          </w:p>
        </w:tc>
      </w:tr>
      <w:tr w:rsidR="008C5C0C" w:rsidRPr="007C464D" w:rsidTr="009151C5">
        <w:trPr>
          <w:trHeight w:val="469"/>
        </w:trPr>
        <w:tc>
          <w:tcPr>
            <w:tcW w:w="5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Термін введення в експлуатацію об’єкта інвестування (АСООП)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місяців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874A4B">
            <w:pPr>
              <w:tabs>
                <w:tab w:val="left" w:pos="0"/>
              </w:tabs>
              <w:spacing w:after="0" w:line="240" w:lineRule="auto"/>
              <w:ind w:firstLine="41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</w:tr>
      <w:tr w:rsidR="008C5C0C" w:rsidRPr="007C464D" w:rsidTr="009151C5">
        <w:trPr>
          <w:trHeight w:val="20"/>
        </w:trPr>
        <w:tc>
          <w:tcPr>
            <w:tcW w:w="5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Термін дії договору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років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874A4B">
            <w:pPr>
              <w:tabs>
                <w:tab w:val="left" w:pos="0"/>
              </w:tabs>
              <w:spacing w:after="0" w:line="240" w:lineRule="auto"/>
              <w:ind w:firstLine="41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</w:tr>
      <w:tr w:rsidR="008C5C0C" w:rsidRPr="007C464D" w:rsidTr="009151C5">
        <w:trPr>
          <w:trHeight w:val="20"/>
        </w:trPr>
        <w:tc>
          <w:tcPr>
            <w:tcW w:w="5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Досвід промислової експлуатації АСООП у містах України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одиниць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874A4B">
            <w:pPr>
              <w:tabs>
                <w:tab w:val="left" w:pos="0"/>
              </w:tabs>
              <w:spacing w:after="0" w:line="240" w:lineRule="auto"/>
              <w:ind w:firstLine="41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8C5C0C" w:rsidRPr="007C464D" w:rsidTr="009151C5">
        <w:trPr>
          <w:trHeight w:val="20"/>
        </w:trPr>
        <w:tc>
          <w:tcPr>
            <w:tcW w:w="5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Комісійна винагорода за виконання функцій інвестора (оператора)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874A4B">
            <w:pPr>
              <w:tabs>
                <w:tab w:val="left" w:pos="0"/>
              </w:tabs>
              <w:spacing w:after="0" w:line="240" w:lineRule="auto"/>
              <w:ind w:firstLine="41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8C5C0C" w:rsidRPr="007C464D" w:rsidTr="00030AE4">
        <w:tc>
          <w:tcPr>
            <w:tcW w:w="5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Демонстрація роботи складових АСООП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874A4B">
            <w:pPr>
              <w:tabs>
                <w:tab w:val="left" w:pos="0"/>
              </w:tabs>
              <w:spacing w:after="0" w:line="240" w:lineRule="auto"/>
              <w:ind w:firstLine="41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8C5C0C" w:rsidRPr="007C464D" w:rsidTr="00030AE4">
        <w:trPr>
          <w:trHeight w:val="215"/>
        </w:trPr>
        <w:tc>
          <w:tcPr>
            <w:tcW w:w="5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Загальна сума інвестицій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грн з ПДВ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874A4B">
            <w:pPr>
              <w:tabs>
                <w:tab w:val="left" w:pos="0"/>
              </w:tabs>
              <w:spacing w:after="0" w:line="240" w:lineRule="auto"/>
              <w:ind w:firstLine="41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</w:tr>
      <w:tr w:rsidR="008C5C0C" w:rsidRPr="007C464D" w:rsidTr="00030AE4">
        <w:trPr>
          <w:trHeight w:val="215"/>
        </w:trPr>
        <w:tc>
          <w:tcPr>
            <w:tcW w:w="555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Додаткові інвестиційні зобов’язання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грн з ПДВ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874A4B">
            <w:pPr>
              <w:tabs>
                <w:tab w:val="left" w:pos="0"/>
              </w:tabs>
              <w:spacing w:after="0" w:line="240" w:lineRule="auto"/>
              <w:ind w:firstLine="41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2432ED" w:rsidRPr="007C464D" w:rsidTr="00030AE4">
        <w:trPr>
          <w:trHeight w:val="215"/>
        </w:trPr>
        <w:tc>
          <w:tcPr>
            <w:tcW w:w="5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Сума балів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2ED" w:rsidRPr="007C464D" w:rsidRDefault="002432ED" w:rsidP="002432ED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32ED" w:rsidRPr="007C464D" w:rsidRDefault="002432ED" w:rsidP="00874A4B">
            <w:pPr>
              <w:tabs>
                <w:tab w:val="left" w:pos="0"/>
              </w:tabs>
              <w:spacing w:after="0" w:line="240" w:lineRule="auto"/>
              <w:ind w:firstLine="41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C464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</w:tr>
    </w:tbl>
    <w:p w:rsidR="00533AD8" w:rsidRPr="007C464D" w:rsidRDefault="00533AD8" w:rsidP="007C464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533AD8" w:rsidRPr="009411C4" w:rsidRDefault="00533AD8" w:rsidP="00533AD8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7C464D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________________________________________________________</w:t>
      </w:r>
    </w:p>
    <w:p w:rsidR="00533AD8" w:rsidRPr="008C5C0C" w:rsidRDefault="00533AD8" w:rsidP="0054129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sectPr w:rsidR="00533AD8" w:rsidRPr="008C5C0C" w:rsidSect="00E7597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C14" w:rsidRDefault="001C5C14" w:rsidP="0017046F">
      <w:pPr>
        <w:spacing w:after="0" w:line="240" w:lineRule="auto"/>
      </w:pPr>
      <w:r>
        <w:separator/>
      </w:r>
    </w:p>
  </w:endnote>
  <w:endnote w:type="continuationSeparator" w:id="0">
    <w:p w:rsidR="001C5C14" w:rsidRDefault="001C5C14" w:rsidP="0017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C14" w:rsidRDefault="001C5C14" w:rsidP="0017046F">
      <w:pPr>
        <w:spacing w:after="0" w:line="240" w:lineRule="auto"/>
      </w:pPr>
      <w:r>
        <w:separator/>
      </w:r>
    </w:p>
  </w:footnote>
  <w:footnote w:type="continuationSeparator" w:id="0">
    <w:p w:rsidR="001C5C14" w:rsidRDefault="001C5C14" w:rsidP="0017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561444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090A7C" w:rsidRPr="008C6002" w:rsidRDefault="00090A7C">
        <w:pPr>
          <w:pStyle w:val="a3"/>
          <w:jc w:val="center"/>
          <w:rPr>
            <w:rFonts w:ascii="Times New Roman" w:hAnsi="Times New Roman"/>
            <w:sz w:val="26"/>
            <w:szCs w:val="26"/>
          </w:rPr>
        </w:pPr>
        <w:r w:rsidRPr="008C6002">
          <w:rPr>
            <w:rFonts w:ascii="Times New Roman" w:hAnsi="Times New Roman"/>
            <w:sz w:val="26"/>
            <w:szCs w:val="26"/>
          </w:rPr>
          <w:fldChar w:fldCharType="begin"/>
        </w:r>
        <w:r w:rsidRPr="008C6002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8C6002">
          <w:rPr>
            <w:rFonts w:ascii="Times New Roman" w:hAnsi="Times New Roman"/>
            <w:sz w:val="26"/>
            <w:szCs w:val="26"/>
          </w:rPr>
          <w:fldChar w:fldCharType="separate"/>
        </w:r>
        <w:r w:rsidR="006C4A09" w:rsidRPr="006C4A09">
          <w:rPr>
            <w:rFonts w:ascii="Times New Roman" w:hAnsi="Times New Roman"/>
            <w:noProof/>
            <w:sz w:val="26"/>
            <w:szCs w:val="26"/>
            <w:lang w:val="ru-RU"/>
          </w:rPr>
          <w:t>20</w:t>
        </w:r>
        <w:r w:rsidRPr="008C6002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090A7C" w:rsidRPr="008C6002" w:rsidRDefault="00090A7C">
    <w:pPr>
      <w:pStyle w:val="a3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4C4"/>
    <w:multiLevelType w:val="multilevel"/>
    <w:tmpl w:val="901ABAF8"/>
    <w:lvl w:ilvl="0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67640D"/>
    <w:multiLevelType w:val="multilevel"/>
    <w:tmpl w:val="2A6AABB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7222E9"/>
    <w:multiLevelType w:val="multilevel"/>
    <w:tmpl w:val="E7AE79F0"/>
    <w:lvl w:ilvl="0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ACE03E5"/>
    <w:multiLevelType w:val="multilevel"/>
    <w:tmpl w:val="4A52916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B83375B"/>
    <w:multiLevelType w:val="multilevel"/>
    <w:tmpl w:val="DECAA282"/>
    <w:lvl w:ilvl="0">
      <w:start w:val="1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165498E"/>
    <w:multiLevelType w:val="multilevel"/>
    <w:tmpl w:val="2BE8CD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2246C4F"/>
    <w:multiLevelType w:val="multilevel"/>
    <w:tmpl w:val="9E9C3BC0"/>
    <w:lvl w:ilvl="0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29C7D6C"/>
    <w:multiLevelType w:val="multilevel"/>
    <w:tmpl w:val="B930F9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5A444EC"/>
    <w:multiLevelType w:val="multilevel"/>
    <w:tmpl w:val="93DE0FB6"/>
    <w:lvl w:ilvl="0">
      <w:start w:val="1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5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AC9118D"/>
    <w:multiLevelType w:val="multilevel"/>
    <w:tmpl w:val="29C012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CE74EF6"/>
    <w:multiLevelType w:val="multilevel"/>
    <w:tmpl w:val="E4A40ED0"/>
    <w:lvl w:ilvl="0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13D4128"/>
    <w:multiLevelType w:val="multilevel"/>
    <w:tmpl w:val="A38E3140"/>
    <w:lvl w:ilvl="0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1511D82"/>
    <w:multiLevelType w:val="multilevel"/>
    <w:tmpl w:val="8B966DC6"/>
    <w:lvl w:ilvl="0">
      <w:start w:val="1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7405C03"/>
    <w:multiLevelType w:val="hybridMultilevel"/>
    <w:tmpl w:val="FF3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17055"/>
    <w:multiLevelType w:val="multilevel"/>
    <w:tmpl w:val="66926FC4"/>
    <w:lvl w:ilvl="0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E3372F6"/>
    <w:multiLevelType w:val="multilevel"/>
    <w:tmpl w:val="2BFE2C9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2D82C74"/>
    <w:multiLevelType w:val="multilevel"/>
    <w:tmpl w:val="33E66528"/>
    <w:lvl w:ilvl="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9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6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A0037A2"/>
    <w:multiLevelType w:val="multilevel"/>
    <w:tmpl w:val="25603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A543838"/>
    <w:multiLevelType w:val="multilevel"/>
    <w:tmpl w:val="03B6A1AC"/>
    <w:lvl w:ilvl="0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EE97CE8"/>
    <w:multiLevelType w:val="multilevel"/>
    <w:tmpl w:val="2AC6454A"/>
    <w:lvl w:ilvl="0">
      <w:start w:val="1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73E268B"/>
    <w:multiLevelType w:val="multilevel"/>
    <w:tmpl w:val="AAF2A47E"/>
    <w:lvl w:ilvl="0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57465980"/>
    <w:multiLevelType w:val="multilevel"/>
    <w:tmpl w:val="7B88B7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4753956"/>
    <w:multiLevelType w:val="multilevel"/>
    <w:tmpl w:val="B28C1F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47B0F2A"/>
    <w:multiLevelType w:val="multilevel"/>
    <w:tmpl w:val="003EB9EA"/>
    <w:lvl w:ilvl="0">
      <w:start w:val="1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BB005F3"/>
    <w:multiLevelType w:val="multilevel"/>
    <w:tmpl w:val="F14EDA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6F7E7553"/>
    <w:multiLevelType w:val="multilevel"/>
    <w:tmpl w:val="7F2644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5D41D2C"/>
    <w:multiLevelType w:val="multilevel"/>
    <w:tmpl w:val="CDA0033C"/>
    <w:lvl w:ilvl="0">
      <w:start w:val="1"/>
      <w:numFmt w:val="bullet"/>
      <w:lvlText w:val="−"/>
      <w:lvlJc w:val="left"/>
      <w:pPr>
        <w:ind w:left="129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5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5F16414"/>
    <w:multiLevelType w:val="multilevel"/>
    <w:tmpl w:val="494EBD86"/>
    <w:lvl w:ilvl="0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7536A75"/>
    <w:multiLevelType w:val="multilevel"/>
    <w:tmpl w:val="8BD848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8CD183D"/>
    <w:multiLevelType w:val="multilevel"/>
    <w:tmpl w:val="357069C4"/>
    <w:lvl w:ilvl="0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A613E2C"/>
    <w:multiLevelType w:val="multilevel"/>
    <w:tmpl w:val="B5029790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-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67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39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11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283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55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427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4991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AD5131B"/>
    <w:multiLevelType w:val="multilevel"/>
    <w:tmpl w:val="56A219E2"/>
    <w:lvl w:ilvl="0">
      <w:start w:val="1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1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3"/>
  </w:num>
  <w:num w:numId="3">
    <w:abstractNumId w:val="17"/>
  </w:num>
  <w:num w:numId="4">
    <w:abstractNumId w:val="7"/>
  </w:num>
  <w:num w:numId="5">
    <w:abstractNumId w:val="26"/>
  </w:num>
  <w:num w:numId="6">
    <w:abstractNumId w:val="5"/>
  </w:num>
  <w:num w:numId="7">
    <w:abstractNumId w:val="25"/>
  </w:num>
  <w:num w:numId="8">
    <w:abstractNumId w:val="22"/>
  </w:num>
  <w:num w:numId="9">
    <w:abstractNumId w:val="9"/>
  </w:num>
  <w:num w:numId="10">
    <w:abstractNumId w:val="24"/>
  </w:num>
  <w:num w:numId="11">
    <w:abstractNumId w:val="28"/>
  </w:num>
  <w:num w:numId="12">
    <w:abstractNumId w:val="21"/>
  </w:num>
  <w:num w:numId="13">
    <w:abstractNumId w:val="16"/>
  </w:num>
  <w:num w:numId="14">
    <w:abstractNumId w:val="8"/>
  </w:num>
  <w:num w:numId="15">
    <w:abstractNumId w:val="20"/>
  </w:num>
  <w:num w:numId="16">
    <w:abstractNumId w:val="19"/>
  </w:num>
  <w:num w:numId="17">
    <w:abstractNumId w:val="23"/>
  </w:num>
  <w:num w:numId="18">
    <w:abstractNumId w:val="31"/>
  </w:num>
  <w:num w:numId="19">
    <w:abstractNumId w:val="4"/>
  </w:num>
  <w:num w:numId="20">
    <w:abstractNumId w:val="30"/>
  </w:num>
  <w:num w:numId="21">
    <w:abstractNumId w:val="1"/>
  </w:num>
  <w:num w:numId="22">
    <w:abstractNumId w:val="0"/>
  </w:num>
  <w:num w:numId="23">
    <w:abstractNumId w:val="27"/>
  </w:num>
  <w:num w:numId="24">
    <w:abstractNumId w:val="2"/>
  </w:num>
  <w:num w:numId="25">
    <w:abstractNumId w:val="11"/>
  </w:num>
  <w:num w:numId="26">
    <w:abstractNumId w:val="15"/>
  </w:num>
  <w:num w:numId="27">
    <w:abstractNumId w:val="18"/>
  </w:num>
  <w:num w:numId="28">
    <w:abstractNumId w:val="29"/>
  </w:num>
  <w:num w:numId="29">
    <w:abstractNumId w:val="14"/>
  </w:num>
  <w:num w:numId="30">
    <w:abstractNumId w:val="12"/>
  </w:num>
  <w:num w:numId="31">
    <w:abstractNumId w:val="6"/>
  </w:num>
  <w:num w:numId="32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BD"/>
    <w:rsid w:val="000122BF"/>
    <w:rsid w:val="00030AE4"/>
    <w:rsid w:val="00035699"/>
    <w:rsid w:val="00037EFF"/>
    <w:rsid w:val="00041884"/>
    <w:rsid w:val="0004448B"/>
    <w:rsid w:val="000571E0"/>
    <w:rsid w:val="00060184"/>
    <w:rsid w:val="00062C3F"/>
    <w:rsid w:val="000649F9"/>
    <w:rsid w:val="00065D44"/>
    <w:rsid w:val="00070051"/>
    <w:rsid w:val="00076029"/>
    <w:rsid w:val="0008241D"/>
    <w:rsid w:val="00090A7C"/>
    <w:rsid w:val="000A53F6"/>
    <w:rsid w:val="000C0F12"/>
    <w:rsid w:val="000D0945"/>
    <w:rsid w:val="000D317F"/>
    <w:rsid w:val="000E0049"/>
    <w:rsid w:val="000E0090"/>
    <w:rsid w:val="000E33EE"/>
    <w:rsid w:val="000E6097"/>
    <w:rsid w:val="000F2031"/>
    <w:rsid w:val="00117C3C"/>
    <w:rsid w:val="001305A1"/>
    <w:rsid w:val="00146B6F"/>
    <w:rsid w:val="00160190"/>
    <w:rsid w:val="001623D4"/>
    <w:rsid w:val="0017046F"/>
    <w:rsid w:val="0017306B"/>
    <w:rsid w:val="00192D16"/>
    <w:rsid w:val="001B7A58"/>
    <w:rsid w:val="001C0263"/>
    <w:rsid w:val="001C5C14"/>
    <w:rsid w:val="001E7E01"/>
    <w:rsid w:val="002021E1"/>
    <w:rsid w:val="00224B84"/>
    <w:rsid w:val="00230DFF"/>
    <w:rsid w:val="002357E7"/>
    <w:rsid w:val="002432ED"/>
    <w:rsid w:val="00244AEB"/>
    <w:rsid w:val="002723C5"/>
    <w:rsid w:val="002759C5"/>
    <w:rsid w:val="002A7005"/>
    <w:rsid w:val="002B3B3B"/>
    <w:rsid w:val="002C2D6D"/>
    <w:rsid w:val="002C3F2A"/>
    <w:rsid w:val="002C5F31"/>
    <w:rsid w:val="002E71EB"/>
    <w:rsid w:val="002F1624"/>
    <w:rsid w:val="00303FB1"/>
    <w:rsid w:val="003107A6"/>
    <w:rsid w:val="00322936"/>
    <w:rsid w:val="003363EA"/>
    <w:rsid w:val="00343ABC"/>
    <w:rsid w:val="003446DF"/>
    <w:rsid w:val="00373325"/>
    <w:rsid w:val="00383094"/>
    <w:rsid w:val="00387463"/>
    <w:rsid w:val="00394B77"/>
    <w:rsid w:val="003B273C"/>
    <w:rsid w:val="003E5288"/>
    <w:rsid w:val="00424167"/>
    <w:rsid w:val="00426D41"/>
    <w:rsid w:val="00444E06"/>
    <w:rsid w:val="004679CF"/>
    <w:rsid w:val="00486E9F"/>
    <w:rsid w:val="004B7EFC"/>
    <w:rsid w:val="004C6835"/>
    <w:rsid w:val="004E3416"/>
    <w:rsid w:val="004E6E9C"/>
    <w:rsid w:val="004F115C"/>
    <w:rsid w:val="005025F6"/>
    <w:rsid w:val="00533AD8"/>
    <w:rsid w:val="0054129A"/>
    <w:rsid w:val="00546881"/>
    <w:rsid w:val="005515D6"/>
    <w:rsid w:val="00560486"/>
    <w:rsid w:val="00582DD7"/>
    <w:rsid w:val="00583B45"/>
    <w:rsid w:val="005915CE"/>
    <w:rsid w:val="0059794A"/>
    <w:rsid w:val="005A6157"/>
    <w:rsid w:val="005B713C"/>
    <w:rsid w:val="005C16DA"/>
    <w:rsid w:val="005C1AA2"/>
    <w:rsid w:val="005C70D3"/>
    <w:rsid w:val="005D4495"/>
    <w:rsid w:val="005E0DD9"/>
    <w:rsid w:val="005E3E99"/>
    <w:rsid w:val="005E55E8"/>
    <w:rsid w:val="005F7FB2"/>
    <w:rsid w:val="00601DB3"/>
    <w:rsid w:val="00606DA8"/>
    <w:rsid w:val="00607FE2"/>
    <w:rsid w:val="00616572"/>
    <w:rsid w:val="00631321"/>
    <w:rsid w:val="00631E80"/>
    <w:rsid w:val="00683B38"/>
    <w:rsid w:val="00694816"/>
    <w:rsid w:val="006C4A09"/>
    <w:rsid w:val="006F2C6D"/>
    <w:rsid w:val="007316F9"/>
    <w:rsid w:val="007439EA"/>
    <w:rsid w:val="00763E5A"/>
    <w:rsid w:val="0077771A"/>
    <w:rsid w:val="00793EDB"/>
    <w:rsid w:val="007B65F8"/>
    <w:rsid w:val="007C277E"/>
    <w:rsid w:val="007C464D"/>
    <w:rsid w:val="007D2162"/>
    <w:rsid w:val="007D369F"/>
    <w:rsid w:val="007F77C7"/>
    <w:rsid w:val="00811AD2"/>
    <w:rsid w:val="008228D5"/>
    <w:rsid w:val="00831266"/>
    <w:rsid w:val="00851E6B"/>
    <w:rsid w:val="0086567E"/>
    <w:rsid w:val="00874A4B"/>
    <w:rsid w:val="008834F9"/>
    <w:rsid w:val="0089226D"/>
    <w:rsid w:val="008B29CA"/>
    <w:rsid w:val="008B7471"/>
    <w:rsid w:val="008C5C0C"/>
    <w:rsid w:val="008C6002"/>
    <w:rsid w:val="008E3971"/>
    <w:rsid w:val="008F1F98"/>
    <w:rsid w:val="008F707C"/>
    <w:rsid w:val="0090455A"/>
    <w:rsid w:val="009151C5"/>
    <w:rsid w:val="00915769"/>
    <w:rsid w:val="00922A3B"/>
    <w:rsid w:val="00932C8C"/>
    <w:rsid w:val="009479A6"/>
    <w:rsid w:val="009546D6"/>
    <w:rsid w:val="00985811"/>
    <w:rsid w:val="009C24FA"/>
    <w:rsid w:val="009C5EA6"/>
    <w:rsid w:val="009D7E96"/>
    <w:rsid w:val="009F3572"/>
    <w:rsid w:val="009F76B7"/>
    <w:rsid w:val="00A0328F"/>
    <w:rsid w:val="00A078E3"/>
    <w:rsid w:val="00A141E8"/>
    <w:rsid w:val="00A211E2"/>
    <w:rsid w:val="00A336AF"/>
    <w:rsid w:val="00A42BB4"/>
    <w:rsid w:val="00A5126D"/>
    <w:rsid w:val="00A83AF4"/>
    <w:rsid w:val="00A845C9"/>
    <w:rsid w:val="00AC026B"/>
    <w:rsid w:val="00AD7A02"/>
    <w:rsid w:val="00B20DBA"/>
    <w:rsid w:val="00B33376"/>
    <w:rsid w:val="00B6231B"/>
    <w:rsid w:val="00B6279D"/>
    <w:rsid w:val="00B66CEF"/>
    <w:rsid w:val="00B84CB0"/>
    <w:rsid w:val="00B862E8"/>
    <w:rsid w:val="00B9176B"/>
    <w:rsid w:val="00BA1F8C"/>
    <w:rsid w:val="00BB494C"/>
    <w:rsid w:val="00BC6B0F"/>
    <w:rsid w:val="00BE7DB4"/>
    <w:rsid w:val="00BF1BD9"/>
    <w:rsid w:val="00BF7464"/>
    <w:rsid w:val="00C03E88"/>
    <w:rsid w:val="00C14528"/>
    <w:rsid w:val="00C21E60"/>
    <w:rsid w:val="00C23B8C"/>
    <w:rsid w:val="00C53CF9"/>
    <w:rsid w:val="00C77CD9"/>
    <w:rsid w:val="00C8782A"/>
    <w:rsid w:val="00C91E32"/>
    <w:rsid w:val="00C975A5"/>
    <w:rsid w:val="00CC540F"/>
    <w:rsid w:val="00D0120D"/>
    <w:rsid w:val="00D05957"/>
    <w:rsid w:val="00D218DB"/>
    <w:rsid w:val="00D22C17"/>
    <w:rsid w:val="00D33018"/>
    <w:rsid w:val="00D37A23"/>
    <w:rsid w:val="00D46B30"/>
    <w:rsid w:val="00D556B4"/>
    <w:rsid w:val="00D57C4E"/>
    <w:rsid w:val="00D60A5C"/>
    <w:rsid w:val="00D66E39"/>
    <w:rsid w:val="00D94F2B"/>
    <w:rsid w:val="00DB4F4F"/>
    <w:rsid w:val="00DB5A88"/>
    <w:rsid w:val="00DB701D"/>
    <w:rsid w:val="00DF2039"/>
    <w:rsid w:val="00E048BD"/>
    <w:rsid w:val="00E4504B"/>
    <w:rsid w:val="00E71268"/>
    <w:rsid w:val="00E75975"/>
    <w:rsid w:val="00E91F24"/>
    <w:rsid w:val="00EB0706"/>
    <w:rsid w:val="00EB0AAC"/>
    <w:rsid w:val="00EB2DF1"/>
    <w:rsid w:val="00EC09DC"/>
    <w:rsid w:val="00ED62C2"/>
    <w:rsid w:val="00ED62CF"/>
    <w:rsid w:val="00ED7734"/>
    <w:rsid w:val="00EE04EF"/>
    <w:rsid w:val="00F01262"/>
    <w:rsid w:val="00F066D9"/>
    <w:rsid w:val="00F13447"/>
    <w:rsid w:val="00F27779"/>
    <w:rsid w:val="00F33A6E"/>
    <w:rsid w:val="00F46187"/>
    <w:rsid w:val="00F808EC"/>
    <w:rsid w:val="00F908ED"/>
    <w:rsid w:val="00FA26E0"/>
    <w:rsid w:val="00FC47E4"/>
    <w:rsid w:val="00FE457F"/>
    <w:rsid w:val="00FE5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E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EB0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B0AAC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B5A8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07FE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E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EB0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B0AAC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B5A8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07F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21</Pages>
  <Words>6896</Words>
  <Characters>39309</Characters>
  <Application>Microsoft Office Word</Application>
  <DocSecurity>0</DocSecurity>
  <Lines>327</Lines>
  <Paragraphs>92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22</cp:revision>
  <cp:lastPrinted>2021-12-03T11:16:00Z</cp:lastPrinted>
  <dcterms:created xsi:type="dcterms:W3CDTF">2021-11-25T10:53:00Z</dcterms:created>
  <dcterms:modified xsi:type="dcterms:W3CDTF">2021-12-03T11:17:00Z</dcterms:modified>
</cp:coreProperties>
</file>