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64F59" w14:textId="77777777" w:rsidR="00401657" w:rsidRPr="00E06A70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09CEE9C5" w14:textId="77777777" w:rsidR="00401657" w:rsidRPr="00E06A70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61EAD546" w14:textId="77777777" w:rsidR="00401657" w:rsidRPr="00E06A70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0904CCCE" w14:textId="0AE8F074" w:rsidR="00401657" w:rsidRPr="00E06A70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002BBF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34215CE4" w14:textId="77777777" w:rsidR="007D2BAA" w:rsidRPr="00B361B3" w:rsidRDefault="007D2BAA" w:rsidP="007D2BA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F56FFD" w14:textId="77777777" w:rsidR="000A6F6C" w:rsidRPr="00B361B3" w:rsidRDefault="000A6F6C" w:rsidP="007D2BA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D642F5" w14:textId="77777777" w:rsidR="007D2BAA" w:rsidRPr="00B361B3" w:rsidRDefault="007D2BAA" w:rsidP="007D2BA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1B3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44314FC" w14:textId="6A54964D" w:rsidR="000A6F6C" w:rsidRDefault="007D2BAA" w:rsidP="007D2BA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1B3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реєстрації </w:t>
      </w:r>
      <w:r w:rsidR="00401657" w:rsidRPr="00401657">
        <w:rPr>
          <w:rFonts w:ascii="Times New Roman" w:hAnsi="Times New Roman" w:cs="Times New Roman"/>
          <w:b/>
          <w:sz w:val="28"/>
          <w:szCs w:val="28"/>
        </w:rPr>
        <w:t>змін до відомостей про релігійну громаду,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</w:t>
      </w:r>
    </w:p>
    <w:p w14:paraId="4A170AA6" w14:textId="77777777" w:rsidR="00401657" w:rsidRPr="00B361B3" w:rsidRDefault="00401657" w:rsidP="007D2BA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76" w:type="dxa"/>
        <w:tblLook w:val="04A0" w:firstRow="1" w:lastRow="0" w:firstColumn="1" w:lastColumn="0" w:noHBand="0" w:noVBand="1"/>
      </w:tblPr>
      <w:tblGrid>
        <w:gridCol w:w="706"/>
        <w:gridCol w:w="4233"/>
        <w:gridCol w:w="4837"/>
      </w:tblGrid>
      <w:tr w:rsidR="007D2BAA" w:rsidRPr="00B361B3" w14:paraId="1C40CD5C" w14:textId="77777777" w:rsidTr="00F66F47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88EEE0" w14:textId="77777777" w:rsidR="007D2BAA" w:rsidRPr="00B361B3" w:rsidRDefault="007D2BAA" w:rsidP="00B11C3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6F5A2E" w:rsidRPr="00B361B3" w14:paraId="36834DE3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130EEC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305F08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B6390D" w:rsidRPr="00B361B3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5DBA93F1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CA5CD1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796B7" w14:textId="77777777" w:rsidR="00B361B3" w:rsidRDefault="00B361B3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123DCDB0" w14:textId="77777777" w:rsidR="00B361B3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89F4B" w14:textId="77777777" w:rsidR="00B361B3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D3EF97" w14:textId="77777777" w:rsidR="00B361B3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9B4A8C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7E87BCC4" w14:textId="77777777" w:rsidR="00B361B3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14:paraId="38619839" w14:textId="77777777" w:rsidR="00B361B3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14:paraId="1319A7A3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Генерала Чупринки, 85, м.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Львів, 79057 </w:t>
            </w:r>
          </w:p>
          <w:p w14:paraId="5A40E564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06AD0A9E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377D0858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52B5F39B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4F60C5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654028C6" w14:textId="77777777" w:rsidR="00B361B3" w:rsidRPr="00E06A70" w:rsidRDefault="00F66F47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B361B3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69693182" w14:textId="77777777" w:rsidR="00B361B3" w:rsidRPr="00E06A70" w:rsidRDefault="00F66F47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B361B3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61B3" w:rsidRPr="00E06A70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="00B361B3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14:paraId="039D328E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14:paraId="40A91B65" w14:textId="77777777" w:rsidR="00B361B3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8CD92B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60741A8A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612B0AC1" w14:textId="77777777" w:rsidR="00B361B3" w:rsidRPr="00E06A70" w:rsidRDefault="00B361B3" w:rsidP="00B361B3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Є. Коновальця, 110А, 80375 </w:t>
            </w:r>
          </w:p>
          <w:p w14:paraId="4B487A29" w14:textId="77777777" w:rsidR="006F5A2E" w:rsidRPr="00B361B3" w:rsidRDefault="00B361B3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с.Рясне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-Руське,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</w:tc>
      </w:tr>
      <w:tr w:rsidR="006F5A2E" w:rsidRPr="00B361B3" w14:paraId="6F856ADD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FD2E2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5A04A4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B6390D" w:rsidRPr="00B361B3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5B70C791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4E42A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D1D49C" w14:textId="77777777" w:rsidR="00842042" w:rsidRPr="00B361B3" w:rsidRDefault="00842042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624BD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C25C0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3A510E58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52A00668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6022A5B6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2C3C2078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19B65DE8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3D5D9C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понеділо</w:t>
            </w:r>
            <w:r w:rsidR="00F66F47">
              <w:rPr>
                <w:rFonts w:ascii="Times New Roman" w:hAnsi="Times New Roman" w:cs="Times New Roman"/>
                <w:sz w:val="28"/>
                <w:szCs w:val="28"/>
              </w:rPr>
              <w:t>к – вівторок: 09:00 – 18:00 год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13CD25C" w14:textId="77777777" w:rsidR="006F5A2E" w:rsidRPr="00B361B3" w:rsidRDefault="00F66F47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</w:p>
          <w:p w14:paraId="555EDF19" w14:textId="77777777" w:rsidR="006F5A2E" w:rsidRPr="00B361B3" w:rsidRDefault="00F66F47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="006F5A2E"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3A1AD75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 w:rsidR="00F66F47"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C882024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14:paraId="6D45FF95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F66F47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16AF6A8" w14:textId="77777777" w:rsidR="006F5A2E" w:rsidRPr="00B361B3" w:rsidRDefault="006F5A2E" w:rsidP="00B361B3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6F5A2E" w:rsidRPr="00B361B3" w14:paraId="132CD9F3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18656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B7A5D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5A423BFE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46301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56EE23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FA8737" w14:textId="77777777" w:rsidR="00175616" w:rsidRPr="00B361B3" w:rsidRDefault="00175616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21FBEE" w14:textId="77777777" w:rsidR="00994509" w:rsidRPr="00B361B3" w:rsidRDefault="00994509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CAC716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45782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0DDD8C3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відділу релігій та національностей департаменту з питань культури, національностей та релігій Львівської </w:t>
            </w:r>
            <w:r w:rsidR="004A4E21" w:rsidRPr="00B361B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19D19612" w14:textId="77777777" w:rsidR="006F5A2E" w:rsidRPr="00B361B3" w:rsidRDefault="00E741E9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6F5A2E" w:rsidRPr="00B361B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1876F33A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5DC4E0" w14:textId="77777777" w:rsidR="006F5A2E" w:rsidRPr="00B361B3" w:rsidRDefault="00175616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F5A2E"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76567FD1" w14:textId="77777777" w:rsid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14:paraId="6F7268D6" w14:textId="77777777" w:rsidR="006F5A2E" w:rsidRPr="00B361B3" w:rsidRDefault="006F5A2E" w:rsidP="006F5A2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7D2BAA" w:rsidRPr="00B361B3" w14:paraId="568435C0" w14:textId="77777777" w:rsidTr="00F66F47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B1EAA9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7D2BAA" w:rsidRPr="00B361B3" w14:paraId="576933C9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0EF738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2EEB79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0C496A" w14:textId="77777777" w:rsidR="007D2BAA" w:rsidRPr="00B361B3" w:rsidRDefault="007D2BAA" w:rsidP="00B11C3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B361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Про державну реєстрацію </w:t>
            </w:r>
            <w:r w:rsidR="00F66F4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юридичних осіб, фізичних осіб-</w:t>
            </w:r>
            <w:r w:rsidRPr="00B361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підприємців та громадських формувань»</w:t>
            </w:r>
          </w:p>
        </w:tc>
      </w:tr>
      <w:tr w:rsidR="007D2BAA" w:rsidRPr="00B361B3" w14:paraId="68FB827B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F47C69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55B28B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AF55A2" w14:textId="77777777" w:rsidR="00F802FD" w:rsidRPr="00F66F47" w:rsidRDefault="00F802FD" w:rsidP="00F802F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 25.12.2015 № 1133 «Про надання послуг у сфері державної реєстрації юридичних осіб, фізичних осіб - підприємців та громадських формувань у скорочені строки»</w:t>
            </w:r>
          </w:p>
          <w:p w14:paraId="56753192" w14:textId="77777777" w:rsidR="007D2BAA" w:rsidRPr="00F66F47" w:rsidRDefault="00E17EB0" w:rsidP="00F802F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Розпорядження Кабінету Міністрів України від 16.05.2014 № 523-р «Деякі питання надання адміністративних послуг через центри </w:t>
            </w:r>
            <w:r w:rsidR="00F802FD" w:rsidRPr="00F66F47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послуг»</w:t>
            </w:r>
          </w:p>
        </w:tc>
      </w:tr>
      <w:tr w:rsidR="007D2BAA" w:rsidRPr="00B361B3" w14:paraId="10D9291A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99DB9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49168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B1C66" w14:textId="4ED72356" w:rsidR="007D2BAA" w:rsidRPr="00F66F47" w:rsidRDefault="006D1DF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</w:t>
            </w:r>
          </w:p>
          <w:p w14:paraId="30BD31D3" w14:textId="58A87D41" w:rsidR="007D2BAA" w:rsidRPr="00F66F47" w:rsidRDefault="007D2BAA" w:rsidP="005F1D5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 w:rsidR="006D1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8361C1" w14:textId="136CB8C1" w:rsidR="006D1DF6" w:rsidRPr="006D1DF6" w:rsidRDefault="006D1DF6" w:rsidP="006D1DF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 юридичних осіб, фізичних осіб - підприємців та громадських формувань, що не мають статусу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Міністерства юстиції України</w:t>
            </w:r>
          </w:p>
          <w:p w14:paraId="652D2B0B" w14:textId="707E04D5" w:rsidR="007D2BAA" w:rsidRPr="00F66F47" w:rsidRDefault="006D1DF6" w:rsidP="006D1DF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09.02.2016  №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359/5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,зареєстрований в Міністерстві юстиції України 09.02.2016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за № 200/28330</w:t>
            </w:r>
          </w:p>
        </w:tc>
      </w:tr>
      <w:tr w:rsidR="007D2BAA" w:rsidRPr="00B361B3" w14:paraId="1ED796B4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0A97B2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A6BEC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AF1B6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D2BAA" w:rsidRPr="00B361B3" w14:paraId="2BF66C37" w14:textId="77777777" w:rsidTr="00F66F47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BD4B16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7D2BAA" w:rsidRPr="00B361B3" w14:paraId="39C04FC5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A23447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BC4769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4C530" w14:textId="14AD4A8A" w:rsidR="002D0B62" w:rsidRDefault="002D0B62" w:rsidP="00B02BDF">
            <w:pPr>
              <w:pStyle w:val="rvps2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0" w:name="n528"/>
            <w:bookmarkStart w:id="1" w:name="n1044"/>
            <w:bookmarkEnd w:id="0"/>
            <w:bookmarkEnd w:id="1"/>
            <w:r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Заява (форма 2) щодо державної реєстрації юридичної особи (крім громадських формувань та органів влади) (Наказ</w:t>
            </w:r>
            <w:r w:rsidRPr="005F0704">
              <w:rPr>
                <w:sz w:val="28"/>
                <w:szCs w:val="28"/>
              </w:rPr>
              <w:t xml:space="preserve"> Мін</w:t>
            </w:r>
            <w:r>
              <w:rPr>
                <w:sz w:val="28"/>
                <w:szCs w:val="28"/>
              </w:rPr>
              <w:t>істерства юстиції України від 29.06.2021</w:t>
            </w:r>
            <w:r w:rsidRPr="005F0704">
              <w:rPr>
                <w:sz w:val="28"/>
                <w:szCs w:val="28"/>
              </w:rPr>
              <w:t xml:space="preserve"> № 2320/5 «Про внесення змін до наказу Міністерства </w:t>
            </w:r>
            <w:r>
              <w:rPr>
                <w:sz w:val="28"/>
                <w:szCs w:val="28"/>
              </w:rPr>
              <w:t>юстиції України від 18.11.2016 № 3268/5»</w:t>
            </w:r>
            <w:r w:rsidRPr="005F07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зареєстрований</w:t>
            </w:r>
            <w:r w:rsidRPr="005F0704">
              <w:rPr>
                <w:sz w:val="28"/>
                <w:szCs w:val="28"/>
              </w:rPr>
              <w:t xml:space="preserve"> в Міні</w:t>
            </w:r>
            <w:r>
              <w:rPr>
                <w:sz w:val="28"/>
                <w:szCs w:val="28"/>
              </w:rPr>
              <w:t>стерстві юстиції України</w:t>
            </w:r>
            <w:r w:rsidRPr="005F0704">
              <w:rPr>
                <w:sz w:val="28"/>
                <w:szCs w:val="28"/>
              </w:rPr>
              <w:t xml:space="preserve"> 30</w:t>
            </w:r>
            <w:r>
              <w:rPr>
                <w:sz w:val="28"/>
                <w:szCs w:val="28"/>
              </w:rPr>
              <w:t>.06.2021 за № </w:t>
            </w:r>
            <w:r w:rsidRPr="005F0704">
              <w:rPr>
                <w:sz w:val="28"/>
                <w:szCs w:val="28"/>
              </w:rPr>
              <w:t>858/36480</w:t>
            </w:r>
            <w:r>
              <w:rPr>
                <w:sz w:val="28"/>
                <w:szCs w:val="28"/>
              </w:rPr>
              <w:t>).</w:t>
            </w:r>
            <w:bookmarkStart w:id="2" w:name="n529"/>
            <w:bookmarkEnd w:id="2"/>
          </w:p>
          <w:p w14:paraId="78520CCB" w14:textId="4E9D64AE" w:rsidR="007D2BAA" w:rsidRPr="00B361B3" w:rsidRDefault="00F802FD" w:rsidP="00B02BDF">
            <w:pPr>
              <w:pStyle w:val="rvps2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361B3">
              <w:rPr>
                <w:sz w:val="28"/>
                <w:szCs w:val="28"/>
              </w:rPr>
              <w:t>2.</w:t>
            </w:r>
            <w:r w:rsidR="00B02BDF">
              <w:rPr>
                <w:sz w:val="28"/>
                <w:szCs w:val="28"/>
              </w:rPr>
              <w:t xml:space="preserve"> Р</w:t>
            </w:r>
            <w:r w:rsidR="007D2BAA" w:rsidRPr="00B361B3">
              <w:rPr>
                <w:sz w:val="28"/>
                <w:szCs w:val="28"/>
              </w:rPr>
              <w:t>ішення уповноваженого органу управління юридичної особи про зміни, що вносяться до Єдиного державного реєстру</w:t>
            </w:r>
            <w:bookmarkStart w:id="3" w:name="n530"/>
            <w:bookmarkEnd w:id="3"/>
            <w:r w:rsidR="0078651A" w:rsidRPr="00B361B3">
              <w:rPr>
                <w:sz w:val="28"/>
                <w:szCs w:val="28"/>
              </w:rPr>
              <w:t>.</w:t>
            </w:r>
          </w:p>
          <w:p w14:paraId="7EC1BEF4" w14:textId="77777777" w:rsidR="007D2BAA" w:rsidRPr="00B361B3" w:rsidRDefault="007D2BAA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B361B3">
              <w:rPr>
                <w:sz w:val="28"/>
                <w:szCs w:val="28"/>
                <w:shd w:val="clear" w:color="auto" w:fill="FFFFFF"/>
              </w:rPr>
              <w:t xml:space="preserve">Рішення уповноваженого органу управління юридичної особи,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</w:t>
            </w:r>
            <w:r w:rsidRPr="00B361B3">
              <w:rPr>
                <w:sz w:val="28"/>
                <w:szCs w:val="28"/>
                <w:shd w:val="clear" w:color="auto" w:fill="FFFFFF"/>
              </w:rPr>
              <w:lastRenderedPageBreak/>
              <w:t>пронумеровується та підписується засновниками (учасниками), уповноваженими ними особами або головою та секретарем загальних зборів (у разі прийняття такого рішення загальними зборами). Справжність підписів на такому рішенні нотаріально засвідчується з обов’язковим використанням спеціальних бланків нотаріальних документів</w:t>
            </w:r>
            <w:r w:rsidR="0078651A" w:rsidRPr="00B361B3">
              <w:rPr>
                <w:sz w:val="28"/>
                <w:szCs w:val="28"/>
                <w:shd w:val="clear" w:color="auto" w:fill="FFFFFF"/>
              </w:rPr>
              <w:t>;</w:t>
            </w:r>
          </w:p>
          <w:p w14:paraId="69C7968A" w14:textId="77777777" w:rsidR="007D2BAA" w:rsidRPr="00B361B3" w:rsidRDefault="007D2BAA" w:rsidP="00B02BDF">
            <w:pPr>
              <w:pStyle w:val="rvps2"/>
              <w:shd w:val="clear" w:color="auto" w:fill="FFFFFF" w:themeFill="background1"/>
              <w:tabs>
                <w:tab w:val="left" w:pos="477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361B3">
              <w:rPr>
                <w:sz w:val="28"/>
                <w:szCs w:val="28"/>
              </w:rPr>
              <w:t>3</w:t>
            </w:r>
            <w:bookmarkStart w:id="4" w:name="n534"/>
            <w:bookmarkEnd w:id="4"/>
            <w:r w:rsidR="00F802FD" w:rsidRPr="00B361B3">
              <w:rPr>
                <w:sz w:val="28"/>
                <w:szCs w:val="28"/>
              </w:rPr>
              <w:t>.</w:t>
            </w:r>
            <w:r w:rsidR="00B02BDF">
              <w:rPr>
                <w:sz w:val="28"/>
                <w:szCs w:val="28"/>
              </w:rPr>
              <w:t xml:space="preserve"> Д</w:t>
            </w:r>
            <w:r w:rsidRPr="00B361B3">
              <w:rPr>
                <w:sz w:val="28"/>
                <w:szCs w:val="28"/>
              </w:rPr>
              <w:t>окумент про сплату адміністративного збору;</w:t>
            </w:r>
          </w:p>
          <w:p w14:paraId="28E72EBC" w14:textId="77777777" w:rsidR="007D2BAA" w:rsidRPr="00B361B3" w:rsidRDefault="00F802FD" w:rsidP="00B02BDF">
            <w:pPr>
              <w:pStyle w:val="rvps2"/>
              <w:shd w:val="clear" w:color="auto" w:fill="FFFFFF" w:themeFill="background1"/>
              <w:tabs>
                <w:tab w:val="left" w:pos="477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5" w:name="n535"/>
            <w:bookmarkEnd w:id="5"/>
            <w:r w:rsidRPr="00B361B3">
              <w:rPr>
                <w:sz w:val="28"/>
                <w:szCs w:val="28"/>
              </w:rPr>
              <w:t>4.</w:t>
            </w:r>
            <w:r w:rsidR="00B02BDF">
              <w:rPr>
                <w:sz w:val="28"/>
                <w:szCs w:val="28"/>
              </w:rPr>
              <w:t xml:space="preserve"> У</w:t>
            </w:r>
            <w:r w:rsidR="007D2BAA" w:rsidRPr="00B361B3">
              <w:rPr>
                <w:sz w:val="28"/>
                <w:szCs w:val="28"/>
              </w:rPr>
              <w:t>стан</w:t>
            </w:r>
            <w:r w:rsidR="0078651A" w:rsidRPr="00B361B3">
              <w:rPr>
                <w:sz w:val="28"/>
                <w:szCs w:val="28"/>
              </w:rPr>
              <w:t>овчий документ юридичної особи у</w:t>
            </w:r>
            <w:r w:rsidR="007D2BAA" w:rsidRPr="00B361B3">
              <w:rPr>
                <w:sz w:val="28"/>
                <w:szCs w:val="28"/>
              </w:rPr>
              <w:t xml:space="preserve"> новій редакції - у разі внесення змін, що мі</w:t>
            </w:r>
            <w:r w:rsidR="0078651A" w:rsidRPr="00B361B3">
              <w:rPr>
                <w:sz w:val="28"/>
                <w:szCs w:val="28"/>
              </w:rPr>
              <w:t>стяться в установчому документі.</w:t>
            </w:r>
          </w:p>
          <w:p w14:paraId="631767BF" w14:textId="77777777" w:rsidR="002D0B62" w:rsidRPr="00577D02" w:rsidRDefault="002D0B62" w:rsidP="002D0B6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n536"/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14:paraId="13F3F47D" w14:textId="77777777" w:rsidR="002D0B62" w:rsidRPr="00577D02" w:rsidRDefault="002D0B62" w:rsidP="002D0B6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14:paraId="10F71AAE" w14:textId="77777777" w:rsidR="002D0B62" w:rsidRPr="00577D02" w:rsidRDefault="002D0B62" w:rsidP="002D0B6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14:paraId="2A0916E6" w14:textId="72C752AF" w:rsidR="007D2BAA" w:rsidRPr="00B361B3" w:rsidRDefault="002D0B62" w:rsidP="002D0B62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577D02">
              <w:rPr>
                <w:sz w:val="28"/>
                <w:szCs w:val="28"/>
              </w:rPr>
              <w:t xml:space="preserve">Для цілей проведення реєстраційних дій документом, що засвідчує повноваження </w:t>
            </w:r>
            <w:r w:rsidRPr="00577D02">
              <w:rPr>
                <w:sz w:val="28"/>
                <w:szCs w:val="28"/>
              </w:rPr>
              <w:lastRenderedPageBreak/>
              <w:t>представника, є документ, що підтверджує повноваження законного представника особи, або нотаріально посвідчена довіреність.</w:t>
            </w:r>
            <w:bookmarkStart w:id="7" w:name="n537"/>
            <w:bookmarkStart w:id="8" w:name="n937"/>
            <w:bookmarkEnd w:id="7"/>
            <w:bookmarkEnd w:id="8"/>
          </w:p>
        </w:tc>
      </w:tr>
      <w:tr w:rsidR="007D2BAA" w:rsidRPr="00B361B3" w14:paraId="1458F00B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C106B8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2B85A2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8AF800" w14:textId="47C1FA22" w:rsidR="007D2BAA" w:rsidRPr="00B361B3" w:rsidRDefault="002D0B62" w:rsidP="0078651A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Особисто, через уповноважену особу або поштовим відправленням.</w:t>
            </w:r>
          </w:p>
        </w:tc>
      </w:tr>
      <w:tr w:rsidR="007D2BAA" w:rsidRPr="00B361B3" w14:paraId="358B0F5F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D99E2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053C4E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E767EF" w14:textId="77777777" w:rsidR="007D2BAA" w:rsidRPr="00B361B3" w:rsidRDefault="007D2BAA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361B3">
              <w:rPr>
                <w:sz w:val="28"/>
                <w:szCs w:val="28"/>
              </w:rPr>
              <w:t xml:space="preserve">Сплачується адміністративний збір </w:t>
            </w:r>
          </w:p>
        </w:tc>
      </w:tr>
      <w:tr w:rsidR="007D2BAA" w:rsidRPr="00B361B3" w14:paraId="5BC25289" w14:textId="77777777" w:rsidTr="00F66F47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D9774B" w14:textId="77777777" w:rsidR="007D2BAA" w:rsidRPr="00B361B3" w:rsidRDefault="007D2BAA" w:rsidP="00C1633E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7D2BAA" w:rsidRPr="00B361B3" w14:paraId="3E8538E0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526E3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1B97E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05E73F" w14:textId="6D89562F" w:rsidR="007D2BAA" w:rsidRPr="00B361B3" w:rsidRDefault="007D2BAA" w:rsidP="0078651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="0078651A" w:rsidRPr="00B36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акони </w:t>
            </w:r>
            <w:r w:rsidRPr="00B361B3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78651A" w:rsidRPr="00B361B3">
              <w:rPr>
                <w:rFonts w:ascii="Times New Roman" w:hAnsi="Times New Roman" w:cs="Times New Roman"/>
                <w:bCs/>
                <w:sz w:val="28"/>
                <w:szCs w:val="28"/>
              </w:rPr>
              <w:t>країни</w:t>
            </w:r>
            <w:r w:rsidRPr="00B36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«Про державну реєстрацію юридичних осіб, фізичних осіб-підприємців та громадських формувань»</w:t>
            </w:r>
            <w:r w:rsidR="006D1DF6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78651A" w:rsidRPr="00B361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361B3">
              <w:rPr>
                <w:rFonts w:ascii="Times New Roman" w:hAnsi="Times New Roman" w:cs="Times New Roman"/>
                <w:bCs/>
                <w:sz w:val="28"/>
                <w:szCs w:val="28"/>
              </w:rPr>
              <w:t>«Про Державний бюджет України»</w:t>
            </w:r>
          </w:p>
        </w:tc>
      </w:tr>
      <w:tr w:rsidR="007D2BAA" w:rsidRPr="00B361B3" w14:paraId="5E56570C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E3ACD0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696D53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93C0C0" w14:textId="77777777" w:rsidR="007D2BAA" w:rsidRPr="00B361B3" w:rsidRDefault="007D2BAA">
            <w:pPr>
              <w:pStyle w:val="a5"/>
              <w:shd w:val="clear" w:color="auto" w:fill="FFFFFF" w:themeFill="background1"/>
              <w:spacing w:before="0" w:beforeAutospacing="0" w:after="0" w:afterAutospacing="0"/>
              <w:ind w:firstLine="175"/>
              <w:jc w:val="both"/>
              <w:rPr>
                <w:sz w:val="28"/>
                <w:szCs w:val="28"/>
              </w:rPr>
            </w:pPr>
            <w:r w:rsidRPr="00B361B3">
              <w:rPr>
                <w:sz w:val="28"/>
                <w:szCs w:val="28"/>
              </w:rPr>
              <w:t xml:space="preserve">Адміністративний збір сплачується у розмірі 0,3 прожиткового мінімуму для працездатних осіб, встановленого законом </w:t>
            </w:r>
            <w:r w:rsidR="0078651A" w:rsidRPr="00B361B3">
              <w:rPr>
                <w:sz w:val="28"/>
                <w:szCs w:val="28"/>
              </w:rPr>
              <w:t>01.01</w:t>
            </w:r>
            <w:r w:rsidRPr="00B361B3">
              <w:rPr>
                <w:sz w:val="28"/>
                <w:szCs w:val="28"/>
              </w:rPr>
              <w:t xml:space="preserve"> календарного року, в якому проводиться державна реєстрація, та округлюється до найближчих 10 гривень</w:t>
            </w:r>
          </w:p>
        </w:tc>
      </w:tr>
      <w:tr w:rsidR="007D2BAA" w:rsidRPr="00B361B3" w14:paraId="580E31E9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64446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85EDE5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045A70" w14:textId="77777777" w:rsidR="007D2BAA" w:rsidRPr="00B361B3" w:rsidRDefault="007D2BA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Плата вно</w:t>
            </w:r>
            <w:r w:rsidR="0078651A" w:rsidRPr="00B361B3">
              <w:rPr>
                <w:rFonts w:ascii="Times New Roman" w:hAnsi="Times New Roman" w:cs="Times New Roman"/>
                <w:sz w:val="28"/>
                <w:szCs w:val="28"/>
              </w:rPr>
              <w:t>ситься на розрахункові рахунки Г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оловного управління Державної казначейської служби України у Львівській області за кодами бюджетної класифікації</w:t>
            </w:r>
          </w:p>
        </w:tc>
      </w:tr>
      <w:tr w:rsidR="002D0B62" w:rsidRPr="00B361B3" w14:paraId="4E24F570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9D8C77" w14:textId="77777777" w:rsidR="002D0B62" w:rsidRPr="00B361B3" w:rsidRDefault="002D0B62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227C62" w14:textId="77777777" w:rsidR="002D0B62" w:rsidRPr="00B361B3" w:rsidRDefault="002D0B62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D51421" w14:textId="77777777" w:rsidR="00CA7BC1" w:rsidRPr="00CA7BC1" w:rsidRDefault="00CA7BC1" w:rsidP="00CA7BC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BC1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 відсутності підстав для зупинення розгляду документів 24 годин після надходження документів, крім вихідних та святкових днів. </w:t>
            </w:r>
          </w:p>
          <w:p w14:paraId="4C0A9C8F" w14:textId="6CF9362C" w:rsidR="002D0B62" w:rsidRPr="00B361B3" w:rsidRDefault="00CA7BC1" w:rsidP="00CA7BC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BC1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BC1">
              <w:rPr>
                <w:rFonts w:ascii="Times New Roman" w:hAnsi="Times New Roman" w:cs="Times New Roman"/>
                <w:sz w:val="28"/>
                <w:szCs w:val="28"/>
              </w:rPr>
              <w:t>15 календарних днів з дати їх зупинення</w:t>
            </w:r>
          </w:p>
        </w:tc>
      </w:tr>
      <w:tr w:rsidR="002D0B62" w:rsidRPr="00B361B3" w14:paraId="1A69CE25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61974" w14:textId="4C9E5A4C" w:rsidR="002D0B62" w:rsidRPr="00B361B3" w:rsidRDefault="006114AF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3B51E2" w14:textId="77777777" w:rsidR="002D0B62" w:rsidRPr="00B361B3" w:rsidRDefault="002D0B62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20501F" w14:textId="15F16EA6" w:rsidR="006114AF" w:rsidRDefault="002D0B62" w:rsidP="006114AF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Державна реєстрація відомостей про юридичну особу в Єдиному державному реєстрі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юридичних осіб, фізичних осіб - підприємців та громадських формувань</w:t>
            </w:r>
          </w:p>
          <w:p w14:paraId="23AE9DB7" w14:textId="7F91C2F7" w:rsidR="006114AF" w:rsidRPr="006114AF" w:rsidRDefault="002D0B62" w:rsidP="006114AF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бажанням заявника надається виписка з Єдиного 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державного реєстру юридичних осіб, фізичних осіб - підприємців та громадських </w:t>
            </w:r>
            <w:r w:rsidRPr="00B81C72">
              <w:rPr>
                <w:rFonts w:ascii="Times New Roman" w:hAnsi="Times New Roman"/>
                <w:sz w:val="28"/>
                <w:szCs w:val="28"/>
              </w:rPr>
              <w:lastRenderedPageBreak/>
              <w:t>формувань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паперовій формі з проставленням підпису та печатки державного реєстратора.</w:t>
            </w:r>
          </w:p>
          <w:p w14:paraId="18C360EB" w14:textId="30562846" w:rsidR="002D0B62" w:rsidRPr="00B361B3" w:rsidRDefault="002D0B62" w:rsidP="002D0B62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B81C72">
              <w:rPr>
                <w:sz w:val="28"/>
                <w:szCs w:val="28"/>
              </w:rPr>
              <w:t>У разі відмови у державній реєстрації</w:t>
            </w:r>
            <w:r>
              <w:rPr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</w:t>
            </w:r>
            <w:r w:rsidR="006114AF">
              <w:rPr>
                <w:sz w:val="28"/>
                <w:szCs w:val="28"/>
              </w:rPr>
              <w:t xml:space="preserve">аявника заяви про їх повернення </w:t>
            </w:r>
          </w:p>
        </w:tc>
      </w:tr>
      <w:tr w:rsidR="002D0B62" w:rsidRPr="00B361B3" w14:paraId="04953D19" w14:textId="77777777" w:rsidTr="00F66F4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1632D0" w14:textId="40D276B2" w:rsidR="002D0B62" w:rsidRPr="00B361B3" w:rsidRDefault="006114AF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A83971" w14:textId="77777777" w:rsidR="002D0B62" w:rsidRPr="00B361B3" w:rsidRDefault="002D0B62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4C454" w14:textId="77777777" w:rsidR="002D0B62" w:rsidRPr="00B81C72" w:rsidRDefault="002D0B62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</w:t>
            </w:r>
          </w:p>
          <w:p w14:paraId="25FC996B" w14:textId="77777777" w:rsidR="002D0B62" w:rsidRPr="00B81C72" w:rsidRDefault="002D0B62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реєстратора.</w:t>
            </w:r>
          </w:p>
          <w:p w14:paraId="6EB082C2" w14:textId="177AC8EA" w:rsidR="002D0B62" w:rsidRPr="00B361B3" w:rsidRDefault="002D0B62" w:rsidP="002D0B6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/>
                <w:sz w:val="28"/>
                <w:szCs w:val="28"/>
              </w:rPr>
              <w:t>У разі відмови у державній реєстрації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14:paraId="2B490E1B" w14:textId="77777777" w:rsidR="00BF6B6E" w:rsidRPr="00B361B3" w:rsidRDefault="00BF6B6E" w:rsidP="00BF6B6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691781" w14:textId="77777777" w:rsidR="00401657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29B78090" w14:textId="77777777" w:rsidR="00401657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7FCBEB57" w14:textId="77777777" w:rsidR="00401657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4D1054B0" w14:textId="77777777" w:rsidR="00401657" w:rsidRDefault="00401657" w:rsidP="004016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0D731892" w14:textId="6A2EA5F4" w:rsidR="007D2BAA" w:rsidRPr="00B361B3" w:rsidRDefault="00401657" w:rsidP="006114A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  <w:bookmarkStart w:id="9" w:name="_GoBack"/>
      <w:bookmarkEnd w:id="9"/>
    </w:p>
    <w:sectPr w:rsidR="007D2BAA" w:rsidRPr="00B361B3" w:rsidSect="000A6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A45F9" w14:textId="77777777" w:rsidR="00E741E9" w:rsidRDefault="00E741E9" w:rsidP="00B9336F">
      <w:pPr>
        <w:spacing w:after="0" w:line="240" w:lineRule="auto"/>
      </w:pPr>
      <w:r>
        <w:separator/>
      </w:r>
    </w:p>
  </w:endnote>
  <w:endnote w:type="continuationSeparator" w:id="0">
    <w:p w14:paraId="1B298207" w14:textId="77777777" w:rsidR="00E741E9" w:rsidRDefault="00E741E9" w:rsidP="00B9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24525" w14:textId="77777777" w:rsidR="00B9336F" w:rsidRDefault="00B933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07F36" w14:textId="77777777" w:rsidR="00B9336F" w:rsidRDefault="00B933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B6E50" w14:textId="77777777" w:rsidR="00B9336F" w:rsidRDefault="00B933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9224C" w14:textId="77777777" w:rsidR="00E741E9" w:rsidRDefault="00E741E9" w:rsidP="00B9336F">
      <w:pPr>
        <w:spacing w:after="0" w:line="240" w:lineRule="auto"/>
      </w:pPr>
      <w:r>
        <w:separator/>
      </w:r>
    </w:p>
  </w:footnote>
  <w:footnote w:type="continuationSeparator" w:id="0">
    <w:p w14:paraId="3097172D" w14:textId="77777777" w:rsidR="00E741E9" w:rsidRDefault="00E741E9" w:rsidP="00B93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672E6" w14:textId="77777777" w:rsidR="00B9336F" w:rsidRDefault="00B933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371613"/>
      <w:docPartObj>
        <w:docPartGallery w:val="Page Numbers (Top of Page)"/>
        <w:docPartUnique/>
      </w:docPartObj>
    </w:sdtPr>
    <w:sdtEndPr/>
    <w:sdtContent>
      <w:p w14:paraId="12DECDA4" w14:textId="77777777" w:rsidR="00B9336F" w:rsidRDefault="00C479C9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A31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883BDCF" w14:textId="77777777" w:rsidR="00B9336F" w:rsidRDefault="00B933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358A1" w14:textId="77777777" w:rsidR="00B9336F" w:rsidRDefault="00B933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0BE5"/>
    <w:multiLevelType w:val="hybridMultilevel"/>
    <w:tmpl w:val="637ACA22"/>
    <w:lvl w:ilvl="0" w:tplc="F2FAFCF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76D92"/>
    <w:multiLevelType w:val="hybridMultilevel"/>
    <w:tmpl w:val="9DE623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CA0B6F"/>
    <w:multiLevelType w:val="hybridMultilevel"/>
    <w:tmpl w:val="CFB00D52"/>
    <w:lvl w:ilvl="0" w:tplc="4FDABC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CA5646"/>
    <w:multiLevelType w:val="hybridMultilevel"/>
    <w:tmpl w:val="5E3818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A179F0"/>
    <w:multiLevelType w:val="hybridMultilevel"/>
    <w:tmpl w:val="8D5224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204AB2"/>
    <w:multiLevelType w:val="hybridMultilevel"/>
    <w:tmpl w:val="A3C8E002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24"/>
  </w:num>
  <w:num w:numId="41">
    <w:abstractNumId w:val="9"/>
  </w:num>
  <w:num w:numId="42">
    <w:abstractNumId w:val="0"/>
  </w:num>
  <w:num w:numId="43">
    <w:abstractNumId w:val="20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AA"/>
    <w:rsid w:val="00001E5D"/>
    <w:rsid w:val="00002BBF"/>
    <w:rsid w:val="000755B4"/>
    <w:rsid w:val="000A6F6C"/>
    <w:rsid w:val="001248D7"/>
    <w:rsid w:val="00125F10"/>
    <w:rsid w:val="001458A8"/>
    <w:rsid w:val="00175616"/>
    <w:rsid w:val="00221FAF"/>
    <w:rsid w:val="002849F2"/>
    <w:rsid w:val="002D0B62"/>
    <w:rsid w:val="002F4886"/>
    <w:rsid w:val="003334D7"/>
    <w:rsid w:val="00376210"/>
    <w:rsid w:val="0038647A"/>
    <w:rsid w:val="003E20AA"/>
    <w:rsid w:val="00401657"/>
    <w:rsid w:val="00412854"/>
    <w:rsid w:val="004766E5"/>
    <w:rsid w:val="004A318A"/>
    <w:rsid w:val="004A4E21"/>
    <w:rsid w:val="004F369D"/>
    <w:rsid w:val="005152DF"/>
    <w:rsid w:val="005667AF"/>
    <w:rsid w:val="005944B4"/>
    <w:rsid w:val="005F1D5D"/>
    <w:rsid w:val="006114AF"/>
    <w:rsid w:val="00621815"/>
    <w:rsid w:val="006339B6"/>
    <w:rsid w:val="006D1DF6"/>
    <w:rsid w:val="006F5A2E"/>
    <w:rsid w:val="0078651A"/>
    <w:rsid w:val="007D2BAA"/>
    <w:rsid w:val="007F5872"/>
    <w:rsid w:val="00842042"/>
    <w:rsid w:val="009047BC"/>
    <w:rsid w:val="009238A0"/>
    <w:rsid w:val="00994509"/>
    <w:rsid w:val="00A34A7C"/>
    <w:rsid w:val="00A55D45"/>
    <w:rsid w:val="00A75F96"/>
    <w:rsid w:val="00AA0F56"/>
    <w:rsid w:val="00AD4B3F"/>
    <w:rsid w:val="00B02BDF"/>
    <w:rsid w:val="00B11C38"/>
    <w:rsid w:val="00B361B3"/>
    <w:rsid w:val="00B6390D"/>
    <w:rsid w:val="00B9336F"/>
    <w:rsid w:val="00BF6B6E"/>
    <w:rsid w:val="00C1633E"/>
    <w:rsid w:val="00C16E83"/>
    <w:rsid w:val="00C479C9"/>
    <w:rsid w:val="00C635C2"/>
    <w:rsid w:val="00CA7BC1"/>
    <w:rsid w:val="00CD05ED"/>
    <w:rsid w:val="00CD1FA8"/>
    <w:rsid w:val="00D20356"/>
    <w:rsid w:val="00D373B2"/>
    <w:rsid w:val="00DB536C"/>
    <w:rsid w:val="00DD61B6"/>
    <w:rsid w:val="00DE4507"/>
    <w:rsid w:val="00E042E7"/>
    <w:rsid w:val="00E17EB0"/>
    <w:rsid w:val="00E741E9"/>
    <w:rsid w:val="00EC1DFD"/>
    <w:rsid w:val="00F112FE"/>
    <w:rsid w:val="00F47913"/>
    <w:rsid w:val="00F66F47"/>
    <w:rsid w:val="00F802FD"/>
    <w:rsid w:val="00FB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7C21"/>
  <w15:docId w15:val="{1ACD40B9-1A25-445A-A942-89BDFB91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B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2BAA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2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D2BAA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7D2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D2B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D2BAA"/>
  </w:style>
  <w:style w:type="paragraph" w:styleId="a8">
    <w:name w:val="footer"/>
    <w:basedOn w:val="a"/>
    <w:link w:val="a9"/>
    <w:uiPriority w:val="99"/>
    <w:semiHidden/>
    <w:unhideWhenUsed/>
    <w:rsid w:val="007D2B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7D2BAA"/>
  </w:style>
  <w:style w:type="paragraph" w:styleId="aa">
    <w:name w:val="Balloon Text"/>
    <w:basedOn w:val="a"/>
    <w:link w:val="ab"/>
    <w:uiPriority w:val="99"/>
    <w:semiHidden/>
    <w:unhideWhenUsed/>
    <w:rsid w:val="007D2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D2BAA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7D2BA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7D2BA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7D2BA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7D2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7D2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7D2BAA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7D2BAA"/>
  </w:style>
  <w:style w:type="character" w:customStyle="1" w:styleId="rvts46">
    <w:name w:val="rvts46"/>
    <w:basedOn w:val="a0"/>
    <w:rsid w:val="007D2BAA"/>
  </w:style>
  <w:style w:type="character" w:customStyle="1" w:styleId="rvts44">
    <w:name w:val="rvts44"/>
    <w:basedOn w:val="a0"/>
    <w:rsid w:val="007D2BAA"/>
  </w:style>
  <w:style w:type="table" w:styleId="ae">
    <w:name w:val="Table Grid"/>
    <w:basedOn w:val="a1"/>
    <w:uiPriority w:val="59"/>
    <w:rsid w:val="007D2B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7D2B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1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5717</Words>
  <Characters>3259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2021-12-08T14:23:00Z</cp:lastPrinted>
  <dcterms:created xsi:type="dcterms:W3CDTF">2021-11-10T13:26:00Z</dcterms:created>
  <dcterms:modified xsi:type="dcterms:W3CDTF">2021-12-08T14:31:00Z</dcterms:modified>
</cp:coreProperties>
</file>