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E25" w:rsidRPr="000D0AB7" w:rsidRDefault="00942E25" w:rsidP="00942E25">
      <w:pPr>
        <w:spacing w:line="276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>ЗАТВЕРДЖЕНО</w:t>
      </w:r>
    </w:p>
    <w:p w:rsidR="00942E25" w:rsidRDefault="00942E25" w:rsidP="00942E25">
      <w:pPr>
        <w:spacing w:line="276" w:lineRule="auto"/>
        <w:ind w:left="5103"/>
        <w:rPr>
          <w:sz w:val="28"/>
          <w:szCs w:val="28"/>
        </w:rPr>
      </w:pPr>
      <w:proofErr w:type="spellStart"/>
      <w:r w:rsidRPr="000D0AB7">
        <w:rPr>
          <w:sz w:val="28"/>
          <w:szCs w:val="28"/>
        </w:rPr>
        <w:t>Розпорядження</w:t>
      </w:r>
      <w:proofErr w:type="spellEnd"/>
      <w:r w:rsidRPr="000D0AB7">
        <w:rPr>
          <w:sz w:val="28"/>
          <w:szCs w:val="28"/>
        </w:rPr>
        <w:t xml:space="preserve"> </w:t>
      </w:r>
      <w:proofErr w:type="spellStart"/>
      <w:r w:rsidRPr="000D0AB7">
        <w:rPr>
          <w:sz w:val="28"/>
          <w:szCs w:val="28"/>
        </w:rPr>
        <w:t>голови</w:t>
      </w:r>
      <w:proofErr w:type="spellEnd"/>
      <w:r w:rsidRPr="000D0AB7">
        <w:rPr>
          <w:sz w:val="28"/>
          <w:szCs w:val="28"/>
        </w:rPr>
        <w:t xml:space="preserve"> </w:t>
      </w:r>
    </w:p>
    <w:p w:rsidR="00942E25" w:rsidRPr="000D0AB7" w:rsidRDefault="00942E25" w:rsidP="00942E25">
      <w:pPr>
        <w:spacing w:line="276" w:lineRule="auto"/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</w:p>
    <w:p w:rsidR="00FD01C3" w:rsidRDefault="00942E25" w:rsidP="00942E25">
      <w:pPr>
        <w:ind w:firstLine="5103"/>
        <w:rPr>
          <w:b/>
          <w:sz w:val="28"/>
          <w:szCs w:val="28"/>
          <w:lang w:val="uk-UA"/>
        </w:rPr>
      </w:pPr>
      <w:r w:rsidRPr="000D0AB7">
        <w:rPr>
          <w:sz w:val="28"/>
          <w:szCs w:val="28"/>
        </w:rPr>
        <w:t>_______</w:t>
      </w:r>
      <w:r>
        <w:rPr>
          <w:sz w:val="28"/>
          <w:szCs w:val="28"/>
        </w:rPr>
        <w:t>______</w:t>
      </w:r>
      <w:r w:rsidRPr="000D0AB7">
        <w:rPr>
          <w:sz w:val="28"/>
          <w:szCs w:val="28"/>
        </w:rPr>
        <w:t>№_____________</w:t>
      </w:r>
    </w:p>
    <w:p w:rsidR="00FD01C3" w:rsidRDefault="00FD01C3" w:rsidP="00AB3D6E">
      <w:pPr>
        <w:ind w:firstLine="709"/>
        <w:jc w:val="center"/>
        <w:rPr>
          <w:b/>
          <w:sz w:val="28"/>
          <w:szCs w:val="28"/>
          <w:lang w:val="uk-UA"/>
        </w:rPr>
      </w:pPr>
    </w:p>
    <w:p w:rsidR="00B2380A" w:rsidRDefault="00B2380A" w:rsidP="00AB3D6E">
      <w:pPr>
        <w:ind w:firstLine="709"/>
        <w:jc w:val="center"/>
        <w:rPr>
          <w:b/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СТРАТЕГІЯ КОМУНІКАЦІЇ</w:t>
      </w: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з пріоритетних напрямів громадського здоров’я</w:t>
      </w: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Проблема, яка потребує розв’язання</w:t>
      </w:r>
    </w:p>
    <w:p w:rsidR="00AB3D6E" w:rsidRPr="000F64CC" w:rsidRDefault="00AB3D6E" w:rsidP="00AB3D6E">
      <w:pPr>
        <w:ind w:firstLine="709"/>
        <w:jc w:val="center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Стратегія розроблена відповідно до таких основних положень: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Стратегія буде підтримувати Концепцію розвитку системи громадського здоров’я (далі – Концепція), затверджену розпорядженням Кабінету Міністрів України від 30.11.2016 № 1002-р та План дій щодо реалізації Концепції, затверджений розпорядженням</w:t>
      </w:r>
      <w:r w:rsidR="000C1D8B">
        <w:rPr>
          <w:sz w:val="28"/>
          <w:szCs w:val="28"/>
          <w:lang w:val="uk-UA"/>
        </w:rPr>
        <w:t xml:space="preserve"> Кабінету Міністрів України від </w:t>
      </w:r>
      <w:r w:rsidRPr="000F64CC">
        <w:rPr>
          <w:sz w:val="28"/>
          <w:szCs w:val="28"/>
          <w:lang w:val="uk-UA"/>
        </w:rPr>
        <w:t>18.08.2017 № 560-р, що передбачає розроблення та затвердження Стратегії комунікації щодо пріоритетних завдань громадського здоров’я;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Стратегію розроблено для практичного посилення узгодженого підходу «охорона здоров’я у всіх політиках держави» на різних адміністративних рівнях;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1726D">
        <w:rPr>
          <w:sz w:val="28"/>
          <w:szCs w:val="28"/>
          <w:lang w:val="uk-UA"/>
        </w:rPr>
        <w:t xml:space="preserve">Стратегія базується на широко прийнятих принципах комунікації, які </w:t>
      </w:r>
      <w:r w:rsidR="000C1D8B" w:rsidRPr="0091726D">
        <w:rPr>
          <w:sz w:val="28"/>
          <w:szCs w:val="28"/>
          <w:lang w:val="uk-UA"/>
        </w:rPr>
        <w:t>спрямова</w:t>
      </w:r>
      <w:r w:rsidRPr="0091726D">
        <w:rPr>
          <w:sz w:val="28"/>
          <w:szCs w:val="28"/>
          <w:lang w:val="uk-UA"/>
        </w:rPr>
        <w:t xml:space="preserve">ні на зміну поведінки, пов’язаної </w:t>
      </w:r>
      <w:r w:rsidR="000C1D8B" w:rsidRPr="0091726D">
        <w:rPr>
          <w:sz w:val="28"/>
          <w:szCs w:val="28"/>
          <w:lang w:val="uk-UA"/>
        </w:rPr>
        <w:t>зі</w:t>
      </w:r>
      <w:r w:rsidRPr="0091726D">
        <w:rPr>
          <w:sz w:val="28"/>
          <w:szCs w:val="28"/>
          <w:lang w:val="uk-UA"/>
        </w:rPr>
        <w:t xml:space="preserve"> здоров’ям, через повідомлення, що мають бути доступними, достовірними, значущими, своєчасними, зрозумілими та спонукати до дії. Стратегія також </w:t>
      </w:r>
      <w:r w:rsidR="00435B19" w:rsidRPr="0091726D">
        <w:rPr>
          <w:sz w:val="28"/>
          <w:szCs w:val="28"/>
          <w:lang w:val="uk-UA"/>
        </w:rPr>
        <w:t>до</w:t>
      </w:r>
      <w:r w:rsidRPr="0091726D">
        <w:rPr>
          <w:sz w:val="28"/>
          <w:szCs w:val="28"/>
          <w:lang w:val="uk-UA"/>
        </w:rPr>
        <w:t>тримується</w:t>
      </w:r>
      <w:r w:rsidRPr="000F64CC">
        <w:rPr>
          <w:sz w:val="28"/>
          <w:szCs w:val="28"/>
          <w:lang w:val="uk-UA"/>
        </w:rPr>
        <w:t xml:space="preserve"> ключового принципу, що повідомлення розробляються тільки після </w:t>
      </w:r>
      <w:proofErr w:type="spellStart"/>
      <w:r w:rsidRPr="000F64CC">
        <w:rPr>
          <w:sz w:val="28"/>
          <w:szCs w:val="28"/>
          <w:lang w:val="uk-UA"/>
        </w:rPr>
        <w:t>дослуховування</w:t>
      </w:r>
      <w:proofErr w:type="spellEnd"/>
      <w:r w:rsidRPr="000F64CC">
        <w:rPr>
          <w:sz w:val="28"/>
          <w:szCs w:val="28"/>
          <w:lang w:val="uk-UA"/>
        </w:rPr>
        <w:t xml:space="preserve"> до потреб цільової аудиторії та що вони попередньо повинні бути протестовані;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Стратегія враховує соціально-економічний та політичний контекст, є реалістичною з точки зору її виконання, є соціально та культурно прийнятною, а також привабливою для політиків;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Стратегія практично орієнтована і відкрита для послідовних змін та вдосконалення завдяки досвіду, отриманому шляхом моніторингу й оцінки</w:t>
      </w:r>
      <w:r w:rsidR="003D2799">
        <w:rPr>
          <w:sz w:val="28"/>
          <w:szCs w:val="28"/>
          <w:lang w:val="uk-UA"/>
        </w:rPr>
        <w:t xml:space="preserve"> </w:t>
      </w:r>
      <w:r w:rsidRPr="000F64CC">
        <w:rPr>
          <w:sz w:val="28"/>
          <w:szCs w:val="28"/>
          <w:lang w:val="uk-UA"/>
        </w:rPr>
        <w:t>та внаслідок зміни обставин;</w:t>
      </w:r>
    </w:p>
    <w:p w:rsidR="00AB3D6E" w:rsidRPr="000F64CC" w:rsidRDefault="00AB3D6E" w:rsidP="00AB3D6E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Її повідомлення, цільові аудиторії та інструменти будуть додатково адаптовані до національного, регіонального та місцевого рівнів.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Мета і строки реалізації Стратегії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Метою Стратегії є формування та реалізація ефективної державної політики для збереження та зміцнення здоров’я населення, збільшення тривалості та покращення якості життя, </w:t>
      </w:r>
      <w:r w:rsidR="00B2380A" w:rsidRPr="0091726D">
        <w:rPr>
          <w:sz w:val="28"/>
          <w:szCs w:val="28"/>
          <w:lang w:val="uk-UA"/>
        </w:rPr>
        <w:t>запобігання</w:t>
      </w:r>
      <w:r w:rsidRPr="0091726D">
        <w:rPr>
          <w:sz w:val="28"/>
          <w:szCs w:val="28"/>
          <w:lang w:val="uk-UA"/>
        </w:rPr>
        <w:t xml:space="preserve"> захворюван</w:t>
      </w:r>
      <w:r w:rsidR="00B2380A" w:rsidRPr="0091726D">
        <w:rPr>
          <w:sz w:val="28"/>
          <w:szCs w:val="28"/>
          <w:lang w:val="uk-UA"/>
        </w:rPr>
        <w:t>ням</w:t>
      </w:r>
      <w:r w:rsidRPr="000F64CC">
        <w:rPr>
          <w:sz w:val="28"/>
          <w:szCs w:val="28"/>
          <w:lang w:val="uk-UA"/>
        </w:rPr>
        <w:t>, продовження активного, працездатного віку та заохочення до здорового способу життя шляхом об’єднання зусиль усього суспільства.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Бачення</w:t>
      </w:r>
      <w:r w:rsidRPr="000F64CC">
        <w:rPr>
          <w:sz w:val="28"/>
          <w:szCs w:val="28"/>
          <w:lang w:val="uk-UA"/>
        </w:rPr>
        <w:t xml:space="preserve"> – культура здоров’я, інтегрована у всі сфери життя суспільства</w:t>
      </w:r>
      <w:r>
        <w:rPr>
          <w:sz w:val="28"/>
          <w:szCs w:val="28"/>
          <w:lang w:val="uk-UA"/>
        </w:rPr>
        <w:t>.</w:t>
      </w:r>
    </w:p>
    <w:p w:rsidR="00AB3D6E" w:rsidRPr="000F64CC" w:rsidRDefault="00AB3D6E" w:rsidP="00AB3D6E">
      <w:pPr>
        <w:shd w:val="clear" w:color="auto" w:fill="FFFEFF"/>
        <w:ind w:firstLine="709"/>
        <w:jc w:val="both"/>
        <w:rPr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lastRenderedPageBreak/>
        <w:t>Цілі</w:t>
      </w:r>
      <w:r w:rsidRPr="000F64CC">
        <w:rPr>
          <w:sz w:val="28"/>
          <w:szCs w:val="28"/>
          <w:lang w:val="uk-UA"/>
        </w:rPr>
        <w:t xml:space="preserve">: </w:t>
      </w:r>
    </w:p>
    <w:p w:rsidR="00AB3D6E" w:rsidRPr="000F64CC" w:rsidRDefault="00AB3D6E" w:rsidP="00AB3D6E">
      <w:pPr>
        <w:shd w:val="clear" w:color="auto" w:fill="FFFEFF"/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Моніторинг і оцінка потенціалу служб громадського здоров’я має враховуватись при формуванні політики, розподілі ресурсів і стратегічному розвитку, направлених на покращення здоров’я населення. </w:t>
      </w:r>
    </w:p>
    <w:p w:rsidR="00AB3D6E" w:rsidRPr="000F64CC" w:rsidRDefault="00AB3D6E" w:rsidP="00AB3D6E">
      <w:pPr>
        <w:shd w:val="clear" w:color="auto" w:fill="FFFEFF"/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Важливим елементом покращення громадського здоров’я є систематична інтеграція його принципів і служб у всіх громадських сферах шляхом розширення </w:t>
      </w:r>
      <w:proofErr w:type="spellStart"/>
      <w:r w:rsidRPr="000F64CC">
        <w:rPr>
          <w:sz w:val="28"/>
          <w:szCs w:val="28"/>
          <w:lang w:val="uk-UA"/>
        </w:rPr>
        <w:t>міжсекторальних</w:t>
      </w:r>
      <w:proofErr w:type="spellEnd"/>
      <w:r w:rsidRPr="000F64CC">
        <w:rPr>
          <w:sz w:val="28"/>
          <w:szCs w:val="28"/>
          <w:lang w:val="uk-UA"/>
        </w:rPr>
        <w:t xml:space="preserve"> підходів та облік питань здоров’я у всіх напрямках політики.</w:t>
      </w:r>
    </w:p>
    <w:p w:rsidR="00AB3D6E" w:rsidRPr="000F64CC" w:rsidRDefault="00AB3D6E" w:rsidP="00AB3D6E">
      <w:pPr>
        <w:shd w:val="clear" w:color="auto" w:fill="FFFEFF"/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Громадське здоров’я має стати центром зусиль щодо покращення здоров’я.  Інвестиції в громадське здоров’я – це внесок в довготермінове здоров’я і </w:t>
      </w:r>
      <w:r w:rsidR="00A15FD9" w:rsidRPr="0091726D">
        <w:rPr>
          <w:sz w:val="28"/>
          <w:szCs w:val="28"/>
          <w:lang w:val="uk-UA"/>
        </w:rPr>
        <w:t>добробуту</w:t>
      </w:r>
      <w:r w:rsidRPr="0091726D">
        <w:rPr>
          <w:sz w:val="28"/>
          <w:szCs w:val="28"/>
          <w:lang w:val="uk-UA"/>
        </w:rPr>
        <w:t xml:space="preserve"> всього населення. </w:t>
      </w:r>
      <w:r w:rsidR="00A15FD9" w:rsidRPr="0091726D">
        <w:rPr>
          <w:sz w:val="28"/>
          <w:szCs w:val="28"/>
          <w:lang w:val="uk-UA"/>
        </w:rPr>
        <w:t>Своєю чергою</w:t>
      </w:r>
      <w:r w:rsidRPr="000F64CC">
        <w:rPr>
          <w:sz w:val="28"/>
          <w:szCs w:val="28"/>
          <w:lang w:val="uk-UA"/>
        </w:rPr>
        <w:t xml:space="preserve"> це є фактором економічної продуктивності та створення стійкого здоров’я.</w:t>
      </w:r>
    </w:p>
    <w:p w:rsidR="00AB3D6E" w:rsidRPr="000F64CC" w:rsidRDefault="00AB3D6E" w:rsidP="00AB3D6E">
      <w:pPr>
        <w:ind w:firstLine="709"/>
        <w:jc w:val="both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 xml:space="preserve">Завдання: </w:t>
      </w:r>
    </w:p>
    <w:p w:rsidR="00AB3D6E" w:rsidRPr="000F64CC" w:rsidRDefault="00AB3D6E" w:rsidP="00AB3D6E">
      <w:pPr>
        <w:numPr>
          <w:ilvl w:val="0"/>
          <w:numId w:val="2"/>
        </w:numPr>
        <w:tabs>
          <w:tab w:val="clear" w:pos="1804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забезпечення проведення загальнонаціональних інформаційно-просвітницьких кампаній щодо переваг здорового способу життя, шляхів попередження захворювань;</w:t>
      </w:r>
    </w:p>
    <w:p w:rsidR="00AB3D6E" w:rsidRPr="000F64CC" w:rsidRDefault="00AB3D6E" w:rsidP="00AB3D6E">
      <w:pPr>
        <w:numPr>
          <w:ilvl w:val="0"/>
          <w:numId w:val="2"/>
        </w:numPr>
        <w:tabs>
          <w:tab w:val="clear" w:pos="1804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проведення переговорів з бізнес-асоціаціями з метою промоції здорового/активного способу життя та здорового харчування, зміцнення здоров’я;</w:t>
      </w:r>
    </w:p>
    <w:p w:rsidR="00AB3D6E" w:rsidRPr="000F64CC" w:rsidRDefault="00AB3D6E" w:rsidP="00AB3D6E">
      <w:pPr>
        <w:numPr>
          <w:ilvl w:val="0"/>
          <w:numId w:val="2"/>
        </w:numPr>
        <w:tabs>
          <w:tab w:val="clear" w:pos="1804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запровадження грантових програм для громадських об’єднань та формування соціального замовлення.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Цільова аудиторія</w:t>
      </w:r>
      <w:r w:rsidRPr="000F64CC">
        <w:rPr>
          <w:sz w:val="28"/>
          <w:szCs w:val="28"/>
          <w:lang w:val="uk-UA"/>
        </w:rPr>
        <w:t xml:space="preserve">: органи влади, громадські організації, працівники охорони здоров’я, пацієнти та їх родичі, медіа, населення тощо. </w:t>
      </w:r>
    </w:p>
    <w:p w:rsidR="00AB3D6E" w:rsidRPr="000F64CC" w:rsidRDefault="00AB3D6E" w:rsidP="00AB3D6E">
      <w:pPr>
        <w:ind w:firstLine="709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91726D">
        <w:rPr>
          <w:b/>
          <w:sz w:val="28"/>
          <w:szCs w:val="28"/>
          <w:lang w:val="uk-UA"/>
        </w:rPr>
        <w:t>Меседжі</w:t>
      </w:r>
      <w:r w:rsidRPr="0091726D">
        <w:rPr>
          <w:sz w:val="28"/>
          <w:szCs w:val="28"/>
          <w:lang w:val="uk-UA"/>
        </w:rPr>
        <w:t>: форм</w:t>
      </w:r>
      <w:r w:rsidR="00A60C9C" w:rsidRPr="0091726D">
        <w:rPr>
          <w:sz w:val="28"/>
          <w:szCs w:val="28"/>
          <w:lang w:val="uk-UA"/>
        </w:rPr>
        <w:t xml:space="preserve">улювання регіональних меседжів </w:t>
      </w:r>
      <w:r w:rsidRPr="0091726D">
        <w:rPr>
          <w:sz w:val="28"/>
          <w:szCs w:val="28"/>
          <w:lang w:val="uk-UA"/>
        </w:rPr>
        <w:t xml:space="preserve">на </w:t>
      </w:r>
      <w:r w:rsidR="00A60C9C" w:rsidRPr="0091726D">
        <w:rPr>
          <w:sz w:val="28"/>
          <w:szCs w:val="28"/>
          <w:lang w:val="uk-UA"/>
        </w:rPr>
        <w:t xml:space="preserve">основі </w:t>
      </w:r>
      <w:r w:rsidRPr="0091726D">
        <w:rPr>
          <w:sz w:val="28"/>
          <w:szCs w:val="28"/>
          <w:lang w:val="uk-UA"/>
        </w:rPr>
        <w:t>актуальн</w:t>
      </w:r>
      <w:r w:rsidR="00A60C9C" w:rsidRPr="0091726D">
        <w:rPr>
          <w:sz w:val="28"/>
          <w:szCs w:val="28"/>
          <w:lang w:val="uk-UA"/>
        </w:rPr>
        <w:t>их</w:t>
      </w:r>
      <w:r w:rsidRPr="0091726D">
        <w:rPr>
          <w:sz w:val="28"/>
          <w:szCs w:val="28"/>
          <w:lang w:val="uk-UA"/>
        </w:rPr>
        <w:t>, цікав</w:t>
      </w:r>
      <w:r w:rsidR="00A60C9C" w:rsidRPr="0091726D">
        <w:rPr>
          <w:sz w:val="28"/>
          <w:szCs w:val="28"/>
          <w:lang w:val="uk-UA"/>
        </w:rPr>
        <w:t>их</w:t>
      </w:r>
      <w:r w:rsidRPr="0091726D">
        <w:rPr>
          <w:sz w:val="28"/>
          <w:szCs w:val="28"/>
          <w:lang w:val="uk-UA"/>
        </w:rPr>
        <w:t xml:space="preserve"> та нестандартн</w:t>
      </w:r>
      <w:r w:rsidR="00A60C9C" w:rsidRPr="0091726D">
        <w:rPr>
          <w:sz w:val="28"/>
          <w:szCs w:val="28"/>
          <w:lang w:val="uk-UA"/>
        </w:rPr>
        <w:t>их</w:t>
      </w:r>
      <w:r w:rsidRPr="0091726D">
        <w:rPr>
          <w:sz w:val="28"/>
          <w:szCs w:val="28"/>
          <w:lang w:val="uk-UA"/>
        </w:rPr>
        <w:t xml:space="preserve"> виклик</w:t>
      </w:r>
      <w:r w:rsidR="008712DE" w:rsidRPr="0091726D">
        <w:rPr>
          <w:sz w:val="28"/>
          <w:szCs w:val="28"/>
          <w:lang w:val="uk-UA"/>
        </w:rPr>
        <w:t>ів</w:t>
      </w:r>
      <w:r w:rsidRPr="0091726D">
        <w:rPr>
          <w:sz w:val="28"/>
          <w:szCs w:val="28"/>
          <w:lang w:val="uk-UA"/>
        </w:rPr>
        <w:t xml:space="preserve"> сьогодення </w:t>
      </w:r>
      <w:r w:rsidR="008712DE" w:rsidRPr="0091726D">
        <w:rPr>
          <w:sz w:val="28"/>
          <w:szCs w:val="28"/>
          <w:lang w:val="uk-UA"/>
        </w:rPr>
        <w:t>та відповідно до</w:t>
      </w:r>
      <w:r w:rsidRPr="0091726D">
        <w:rPr>
          <w:sz w:val="28"/>
          <w:szCs w:val="28"/>
          <w:lang w:val="uk-UA"/>
        </w:rPr>
        <w:t xml:space="preserve"> Плану</w:t>
      </w:r>
      <w:r w:rsidRPr="000F64CC">
        <w:rPr>
          <w:sz w:val="28"/>
          <w:szCs w:val="28"/>
          <w:lang w:val="uk-UA"/>
        </w:rPr>
        <w:t xml:space="preserve"> </w:t>
      </w:r>
      <w:r w:rsidRPr="000F64CC">
        <w:rPr>
          <w:color w:val="1D1D1B"/>
          <w:sz w:val="28"/>
          <w:szCs w:val="28"/>
          <w:shd w:val="clear" w:color="auto" w:fill="FFFFFF"/>
          <w:lang w:val="uk-UA"/>
        </w:rPr>
        <w:t xml:space="preserve">заходів щодо реалізації Концепції.  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Основні напрями і шляхи реалізації Стратегії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Комунікація щодо громадського здоров’я спрямована на підвищення поінформованості та рівня освіти населення з питань здорового способу життя і профілактики захворювань. Це мистецтво інформування, впливу та мотивації окремих осіб, інституцій та громадськості стосовно важливих проблем громадського здоров’я.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Комунікація розширює можливості доступу, розуміння та використання інформації для зменшення ризиків, запобігання захворюванням, сприяння здоров’ю та покращення добробуту, якості життя і здоров’я людей у громаді.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Комунікація охоплює кілька сфер, включаючи журналістику в галузі громадського здоров’я, розваги, освіту, міжособистісну комунікацію, пропаганду ЗМІ, організаційне спілкування, комунікацію з ризиками та кризами, соціальні комунікації та соціальний маркетинг. Вона приймає різні форми від масових, мультимедійних та інтерактивних (у тому числі, мобільні додатки та </w:t>
      </w:r>
      <w:r w:rsidRPr="0091726D">
        <w:rPr>
          <w:sz w:val="28"/>
          <w:szCs w:val="28"/>
          <w:lang w:val="uk-UA"/>
        </w:rPr>
        <w:t>мереж</w:t>
      </w:r>
      <w:r w:rsidR="004713AC" w:rsidRPr="0091726D">
        <w:rPr>
          <w:sz w:val="28"/>
          <w:szCs w:val="28"/>
          <w:lang w:val="uk-UA"/>
        </w:rPr>
        <w:t>у</w:t>
      </w:r>
      <w:r w:rsidRPr="0091726D">
        <w:rPr>
          <w:sz w:val="28"/>
          <w:szCs w:val="28"/>
          <w:lang w:val="uk-UA"/>
        </w:rPr>
        <w:t xml:space="preserve"> Інтернет</w:t>
      </w:r>
      <w:r w:rsidRPr="000F64CC">
        <w:rPr>
          <w:sz w:val="28"/>
          <w:szCs w:val="28"/>
          <w:lang w:val="uk-UA"/>
        </w:rPr>
        <w:t xml:space="preserve">) комунікацій до традиційних і культурно-специфічних комунікацій, що охоплюють різні канали, такі як міжособистісне спілкування, </w:t>
      </w:r>
      <w:r w:rsidRPr="000F64CC">
        <w:rPr>
          <w:sz w:val="28"/>
          <w:szCs w:val="28"/>
          <w:lang w:val="uk-UA"/>
        </w:rPr>
        <w:lastRenderedPageBreak/>
        <w:t xml:space="preserve">масові, організаційні та малі групи, включаючи радіо, телебачення, газети, блоги, дошки оголошень, </w:t>
      </w:r>
      <w:proofErr w:type="spellStart"/>
      <w:r w:rsidRPr="000F64CC">
        <w:rPr>
          <w:sz w:val="28"/>
          <w:szCs w:val="28"/>
          <w:lang w:val="uk-UA"/>
        </w:rPr>
        <w:t>підкасти</w:t>
      </w:r>
      <w:proofErr w:type="spellEnd"/>
      <w:r w:rsidRPr="000F64CC">
        <w:rPr>
          <w:sz w:val="28"/>
          <w:szCs w:val="28"/>
          <w:lang w:val="uk-UA"/>
        </w:rPr>
        <w:t xml:space="preserve"> та обмін відео, обмін повідомленнями на мобільному телефоні та онлайн-форуми.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Комунікація щодо громадського здоров’я пропонує громадський спосіб протидії активному просуванню небезпечних продуктів і способу життя. Це двостороння діяльність з обміну інформацією, яка вимагає прослуховування, збору інформації та вивчення того, як люди сприймають та формують повідомлення про здоров’я, щоб інформація могла бути передана у більш доступних та переконливих форматах. Комунікація базується на принципах прозорості та широкої доступності для громадськості.</w:t>
      </w:r>
    </w:p>
    <w:p w:rsidR="00AB3D6E" w:rsidRPr="0091726D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 xml:space="preserve">Підтримка здоров’я – це процес, який дозволяє людям підвищити контроль </w:t>
      </w:r>
      <w:r w:rsidR="00E63C0A" w:rsidRPr="0091726D">
        <w:rPr>
          <w:sz w:val="28"/>
          <w:szCs w:val="28"/>
          <w:lang w:val="uk-UA"/>
        </w:rPr>
        <w:t>за</w:t>
      </w:r>
      <w:r w:rsidRPr="0091726D">
        <w:rPr>
          <w:sz w:val="28"/>
          <w:szCs w:val="28"/>
          <w:lang w:val="uk-UA"/>
        </w:rPr>
        <w:t xml:space="preserve"> своїм здоров’ям і в такий спосіб поліпшити його. Засоби досягнення цієї мети включають проведення заходів зі зміцнення здоров’я для спільноти у цілому або для населення з підвищеним ризиком негативних наслідків для здоров’я у таких сферах як сексуальне здоров’я, психічне здоров’я, ризикована поведінка, пов’язана з передачею ВІЛ, контроль над зловживанням наркотиками, контроль над тютюном та алкоголем, фізична активність, профілактика ожиріння, харчування, безпека харчових продуктів, небезпеки для здоров’я, профілактика травматизму, професійне та екологічне здоров’я.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91726D">
        <w:rPr>
          <w:sz w:val="28"/>
          <w:szCs w:val="28"/>
          <w:lang w:val="uk-UA"/>
        </w:rPr>
        <w:t>З цією метою планується створення та пошире</w:t>
      </w:r>
      <w:r w:rsidR="002D6193" w:rsidRPr="0091726D">
        <w:rPr>
          <w:sz w:val="28"/>
          <w:szCs w:val="28"/>
          <w:lang w:val="uk-UA"/>
        </w:rPr>
        <w:t xml:space="preserve">ння інформації щодо таких </w:t>
      </w:r>
      <w:r w:rsidRPr="0091726D">
        <w:rPr>
          <w:sz w:val="28"/>
          <w:szCs w:val="28"/>
          <w:lang w:val="uk-UA"/>
        </w:rPr>
        <w:t>дат</w:t>
      </w:r>
      <w:r w:rsidRPr="000F64CC">
        <w:rPr>
          <w:sz w:val="28"/>
          <w:szCs w:val="28"/>
          <w:lang w:val="uk-UA"/>
        </w:rPr>
        <w:t xml:space="preserve"> у галузі охорони здоров’я: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4 лютого – Всесвітній день боротьби проти раку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14 лютого (2-ий понеділок місяця) – День хворих на епілепсію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15 лютого – Всесвітній день онкохворої дитини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29 лютого – Міжнародний день боротьби з органними захворюваннями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 березня – Всесвітній день імунітету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3 березня – Всесвітній день запобігання вродженим вадам розвитку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 xml:space="preserve">4 березня – Міжнародний день обізнаності про вірус папіломи людини 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6 березня – Всесвітній день глаукоми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10 березня (2-ий четвер місяця) – Всесвітній день нирки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21 березня – Міжнародний день дітей та дорослих з синдромом Дауна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24 березня – Всесвітній день боротьби проти туберкульозу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 квітня – Всесвітній день розповсюдження інформації про проблему аутизму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7 квітня – Всесвітній день здоров’я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11 квітня – Всесвітній день боротьби з хворобою Паркінсона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17 квітня – Всесвітній день боротьби з гемофілією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23 квітня – Всеукраїнський день психолога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24 квітня – Всеукраїнський день діагностики меланоми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25 квітня – Всесвітній день боротьби проти малярії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25 квітня – Всесвітній день ДНК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26 квітня – День Чорнобильської трагедії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5 травня – Міжнародний день акушерки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12 травня – Міжнародний день медичних сестер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lastRenderedPageBreak/>
        <w:t>14 травня (2-а субота місяця) – Всесвітній день боротьби з артеріальною гіпертензією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15 травня – День попередження раптової зупинки серця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15 травня (3-я неділя місяця) – Всесвітні день пам’яті жертв СНІДу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16 травня – День діагностики меланоми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25 травня – Всесвітній день щитоподібної залози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27 травня – День розсіяного склерозу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30 травня – Всесвітній день боротьби проти астми та алергії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31 травня – Всесвітній день без тютюну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14 червня – Всесвітній день донора крові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19 червня (3-я неділя місяця) – День медичного працівника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25 червня – Всесвітній день віті ліго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26 червня – Міжнародний день боротьби із зловживанням наркотиків та їх розповсюдженням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8 липня – Всесвітній день боротьби з алергією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28 липня – Всесвітній день боротьби з гепатитами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8 серпня – Міжнародний день офтальмології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10 вересня (2-а субота місяця) – Міжнародний день першої допомоги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15 вересня – Всесвітній день боротьби з лімфомою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17 вересня (3-я субота місяця) – День фармацевтичного працівника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21 вересня – Міжнародний день розповсюдження інформації про хворобу Альцгеймера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26 вересня – Всесвітній день контрацепції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28 вересня – Всесвітній день боротьби проти сказу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29 вересня – Міжнародний день серця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 xml:space="preserve">8 жовтня (2-а субота місяця) – Всесвітній день паліативної та </w:t>
      </w:r>
      <w:proofErr w:type="spellStart"/>
      <w:r w:rsidRPr="000F64CC">
        <w:rPr>
          <w:sz w:val="28"/>
          <w:szCs w:val="28"/>
        </w:rPr>
        <w:t>хоспісної</w:t>
      </w:r>
      <w:proofErr w:type="spellEnd"/>
      <w:r w:rsidRPr="000F64CC">
        <w:rPr>
          <w:sz w:val="28"/>
          <w:szCs w:val="28"/>
        </w:rPr>
        <w:t xml:space="preserve"> допомоги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10 жовтня – Всесвітній день охорони психічного здоров’я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12 жовтня – Всесвітній день боротьби з артритом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13 жовтня (2-ий четвер місяця) – Всесвітній день захисту зору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15 жовтня – Міжнародний день чистих рук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20 жовтня – Всесвітній день профілактики остеопорозу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20 жовтня – Всеукраїнський день боротьби із захворюванням на рак молочної залози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24 жовтня – Всесвітній день боротьби з поліомієлітом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29 жовтня – Всесвітній день боротьби з інсультом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29 жовтня – Міжнародний день псоріазу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12 листопада – Всесвітній день боротьби з пневмонією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14 листопада – Всесвітній день боротьби з цукровим діабетом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17 листопада – Всесвітній день недоношених дітей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 xml:space="preserve">17 листопада – Всесвітній день боротьби з ХОЗЛ 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17 листопада (3-ий четвер місяця) – Міжнародний день відмови від куріння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 грудня – Всесвітній день боротьби зі СНІДом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t>11 грудня – Всесвітній день хворого на бронхіальну астму</w:t>
      </w:r>
    </w:p>
    <w:p w:rsidR="00AB3D6E" w:rsidRPr="000F64CC" w:rsidRDefault="00AB3D6E" w:rsidP="00AB3D6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4CC">
        <w:rPr>
          <w:sz w:val="28"/>
          <w:szCs w:val="28"/>
        </w:rPr>
        <w:lastRenderedPageBreak/>
        <w:t>14 грудня – День вшанування учасників ліквідації наслідків аварії на ЧАЕС</w:t>
      </w:r>
    </w:p>
    <w:p w:rsidR="00AB3D6E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2D6193" w:rsidRPr="000F64CC" w:rsidRDefault="002D6193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Очікувані результати</w:t>
      </w:r>
    </w:p>
    <w:p w:rsidR="00AB3D6E" w:rsidRPr="000F64CC" w:rsidRDefault="00AB3D6E" w:rsidP="00AB3D6E">
      <w:pPr>
        <w:ind w:firstLine="709"/>
        <w:jc w:val="center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Ефективна реалізація Стратегії спрямована на досягнення таких результатів: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збільшення кількості публікацій;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покращення висвітлення громадського здоров’я на місцях;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поширення матеріалів, що будуть цікавими та корисними читачам;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новий підхід у роботі з регіональними медіа;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розроблення нового інструменту для координації комунікації щодо важливих питань громадського здоров’я;</w:t>
      </w:r>
    </w:p>
    <w:p w:rsidR="00AB3D6E" w:rsidRPr="000F64CC" w:rsidRDefault="00AB3D6E" w:rsidP="00AB3D6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промоція важливих тем для населення області.</w:t>
      </w: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center"/>
        <w:rPr>
          <w:b/>
          <w:sz w:val="28"/>
          <w:szCs w:val="28"/>
          <w:lang w:val="uk-UA"/>
        </w:rPr>
      </w:pPr>
      <w:r w:rsidRPr="000F64CC">
        <w:rPr>
          <w:b/>
          <w:sz w:val="28"/>
          <w:szCs w:val="28"/>
          <w:lang w:val="uk-UA"/>
        </w:rPr>
        <w:t>Нормативно-правове та фінансове забезпечення реалізації Стратегії</w:t>
      </w:r>
    </w:p>
    <w:p w:rsidR="00AB3D6E" w:rsidRPr="000F64CC" w:rsidRDefault="00AB3D6E" w:rsidP="00AB3D6E">
      <w:pPr>
        <w:ind w:firstLine="709"/>
        <w:jc w:val="center"/>
        <w:rPr>
          <w:sz w:val="28"/>
          <w:szCs w:val="28"/>
          <w:lang w:val="uk-UA"/>
        </w:rPr>
      </w:pPr>
    </w:p>
    <w:p w:rsidR="00AB3D6E" w:rsidRPr="000F64CC" w:rsidRDefault="00AB3D6E" w:rsidP="00AB3D6E">
      <w:pPr>
        <w:ind w:firstLine="709"/>
        <w:jc w:val="both"/>
        <w:rPr>
          <w:sz w:val="28"/>
          <w:szCs w:val="28"/>
          <w:lang w:val="uk-UA"/>
        </w:rPr>
      </w:pPr>
      <w:r w:rsidRPr="000F64CC">
        <w:rPr>
          <w:sz w:val="28"/>
          <w:szCs w:val="28"/>
          <w:lang w:val="uk-UA"/>
        </w:rPr>
        <w:t>Нормативно-правове забезпечення реалізації Стратегії здійснюється шляхом підготовки та прийняття відповідних нормативно-правових актів.</w:t>
      </w:r>
    </w:p>
    <w:p w:rsidR="00AB3D6E" w:rsidRPr="009D7479" w:rsidRDefault="00AB3D6E" w:rsidP="00AB3D6E">
      <w:pPr>
        <w:ind w:firstLine="709"/>
        <w:jc w:val="both"/>
        <w:rPr>
          <w:lang w:val="uk-UA"/>
        </w:rPr>
      </w:pPr>
      <w:r w:rsidRPr="000F64CC">
        <w:rPr>
          <w:sz w:val="28"/>
          <w:szCs w:val="28"/>
          <w:lang w:val="uk-UA"/>
        </w:rPr>
        <w:t>Фінансове забезпечення реалізації Стратегії здійснюється за рахунок коштів, передбачених у державному та місцевих бюджет</w:t>
      </w:r>
      <w:r w:rsidR="00663AF7">
        <w:rPr>
          <w:sz w:val="28"/>
          <w:szCs w:val="28"/>
          <w:lang w:val="uk-UA"/>
        </w:rPr>
        <w:t xml:space="preserve">ах на відповідний рік </w:t>
      </w:r>
      <w:r w:rsidR="00663AF7" w:rsidRPr="0091726D">
        <w:rPr>
          <w:sz w:val="28"/>
          <w:szCs w:val="28"/>
          <w:lang w:val="uk-UA"/>
        </w:rPr>
        <w:t>державним органам, установам та організаціям, відповідальним</w:t>
      </w:r>
      <w:bookmarkStart w:id="0" w:name="_GoBack"/>
      <w:bookmarkEnd w:id="0"/>
      <w:r w:rsidRPr="000F64CC">
        <w:rPr>
          <w:sz w:val="28"/>
          <w:szCs w:val="28"/>
          <w:lang w:val="uk-UA"/>
        </w:rPr>
        <w:t xml:space="preserve"> за виконання заходів, коштів міжнародної технічної допомоги та інших джерел, не заборонених законодавством.</w:t>
      </w:r>
    </w:p>
    <w:p w:rsidR="00AB3D6E" w:rsidRPr="00BC6948" w:rsidRDefault="00AB3D6E" w:rsidP="00AB3D6E">
      <w:pPr>
        <w:jc w:val="both"/>
        <w:rPr>
          <w:sz w:val="28"/>
          <w:szCs w:val="28"/>
          <w:lang w:val="uk-UA"/>
        </w:rPr>
      </w:pPr>
    </w:p>
    <w:p w:rsidR="005120DC" w:rsidRDefault="005120DC" w:rsidP="00AB3D6E"/>
    <w:p w:rsidR="00420825" w:rsidRDefault="00420825" w:rsidP="00AB3D6E"/>
    <w:p w:rsidR="00420825" w:rsidRPr="005E3782" w:rsidRDefault="00420825" w:rsidP="00420825">
      <w:pPr>
        <w:ind w:hanging="6"/>
        <w:jc w:val="both"/>
        <w:rPr>
          <w:b/>
          <w:sz w:val="28"/>
          <w:szCs w:val="28"/>
        </w:rPr>
      </w:pPr>
      <w:r w:rsidRPr="005E3782">
        <w:rPr>
          <w:b/>
          <w:sz w:val="28"/>
          <w:szCs w:val="28"/>
        </w:rPr>
        <w:t>Директор департаменту</w:t>
      </w:r>
    </w:p>
    <w:p w:rsidR="000B706B" w:rsidRDefault="000B706B" w:rsidP="004208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охорони здоров’я </w:t>
      </w:r>
    </w:p>
    <w:p w:rsidR="00420825" w:rsidRPr="00420825" w:rsidRDefault="00420825" w:rsidP="00420825">
      <w:pPr>
        <w:rPr>
          <w:lang w:val="uk-UA"/>
        </w:rPr>
      </w:pPr>
      <w:proofErr w:type="spellStart"/>
      <w:r w:rsidRPr="005E3782">
        <w:rPr>
          <w:b/>
          <w:sz w:val="28"/>
          <w:szCs w:val="28"/>
        </w:rPr>
        <w:t>облдержадміністрації</w:t>
      </w:r>
      <w:proofErr w:type="spellEnd"/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="000B706B">
        <w:rPr>
          <w:b/>
          <w:sz w:val="28"/>
          <w:szCs w:val="28"/>
        </w:rPr>
        <w:tab/>
      </w:r>
      <w:r w:rsidR="000B706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Орест</w:t>
      </w:r>
      <w:r w:rsidRPr="005E37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ЧЕМЕРИС</w:t>
      </w:r>
    </w:p>
    <w:sectPr w:rsidR="00420825" w:rsidRPr="00420825" w:rsidSect="00663AF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699" w:rsidRDefault="003E6699" w:rsidP="00663AF7">
      <w:r>
        <w:separator/>
      </w:r>
    </w:p>
  </w:endnote>
  <w:endnote w:type="continuationSeparator" w:id="0">
    <w:p w:rsidR="003E6699" w:rsidRDefault="003E6699" w:rsidP="0066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699" w:rsidRDefault="003E6699" w:rsidP="00663AF7">
      <w:r>
        <w:separator/>
      </w:r>
    </w:p>
  </w:footnote>
  <w:footnote w:type="continuationSeparator" w:id="0">
    <w:p w:rsidR="003E6699" w:rsidRDefault="003E6699" w:rsidP="00663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907243"/>
      <w:docPartObj>
        <w:docPartGallery w:val="Page Numbers (Top of Page)"/>
        <w:docPartUnique/>
      </w:docPartObj>
    </w:sdtPr>
    <w:sdtEndPr/>
    <w:sdtContent>
      <w:p w:rsidR="00663AF7" w:rsidRDefault="00663A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63AF7">
          <w:rPr>
            <w:noProof/>
            <w:lang w:val="uk-UA"/>
          </w:rPr>
          <w:t>4</w:t>
        </w:r>
        <w:r>
          <w:fldChar w:fldCharType="end"/>
        </w:r>
      </w:p>
    </w:sdtContent>
  </w:sdt>
  <w:p w:rsidR="00663AF7" w:rsidRDefault="00663A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246CF"/>
    <w:multiLevelType w:val="hybridMultilevel"/>
    <w:tmpl w:val="8B5CEFA8"/>
    <w:lvl w:ilvl="0" w:tplc="EAAC661A">
      <w:start w:val="3"/>
      <w:numFmt w:val="bullet"/>
      <w:lvlText w:val="-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129363A"/>
    <w:multiLevelType w:val="hybridMultilevel"/>
    <w:tmpl w:val="DF7E9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4058A8"/>
    <w:multiLevelType w:val="hybridMultilevel"/>
    <w:tmpl w:val="E8024F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D6E"/>
    <w:rsid w:val="000B706B"/>
    <w:rsid w:val="000C1D8B"/>
    <w:rsid w:val="001B49CE"/>
    <w:rsid w:val="002570B0"/>
    <w:rsid w:val="002D6193"/>
    <w:rsid w:val="003D2799"/>
    <w:rsid w:val="003E6699"/>
    <w:rsid w:val="00420825"/>
    <w:rsid w:val="00435B19"/>
    <w:rsid w:val="004713AC"/>
    <w:rsid w:val="005120DC"/>
    <w:rsid w:val="00663AF7"/>
    <w:rsid w:val="008712DE"/>
    <w:rsid w:val="0091726D"/>
    <w:rsid w:val="00925B40"/>
    <w:rsid w:val="00942E25"/>
    <w:rsid w:val="00A15FD9"/>
    <w:rsid w:val="00A60C9C"/>
    <w:rsid w:val="00AB3D6E"/>
    <w:rsid w:val="00AD7907"/>
    <w:rsid w:val="00B2380A"/>
    <w:rsid w:val="00C645F7"/>
    <w:rsid w:val="00E63C0A"/>
    <w:rsid w:val="00F6348D"/>
    <w:rsid w:val="00F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61CB1-45D9-40A7-9575-F475C3CB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3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Normal (Web)"/>
    <w:basedOn w:val="a"/>
    <w:semiHidden/>
    <w:rsid w:val="00AB3D6E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663AF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6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63AF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63A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6611</Words>
  <Characters>3769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</cp:lastModifiedBy>
  <cp:revision>5</cp:revision>
  <dcterms:created xsi:type="dcterms:W3CDTF">2022-02-02T08:51:00Z</dcterms:created>
  <dcterms:modified xsi:type="dcterms:W3CDTF">2022-02-03T07:28:00Z</dcterms:modified>
</cp:coreProperties>
</file>